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AD5B" w14:textId="77777777" w:rsidR="00795C64" w:rsidRPr="007C5BD9" w:rsidRDefault="00000000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7C5BD9">
        <w:rPr>
          <w:rFonts w:ascii="Calibri" w:eastAsia="Calibri" w:hAnsi="Calibri" w:cs="Calibri"/>
          <w:b/>
          <w:sz w:val="28"/>
          <w:szCs w:val="28"/>
        </w:rPr>
        <w:t>SYLLABUS</w:t>
      </w:r>
    </w:p>
    <w:p w14:paraId="16616EC7" w14:textId="77777777" w:rsidR="00795C64" w:rsidRPr="007C5BD9" w:rsidRDefault="00795C64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32E37F4B" w14:textId="77777777" w:rsidR="00795C64" w:rsidRPr="007C5BD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 w:rsidRPr="007C5BD9">
        <w:rPr>
          <w:rFonts w:ascii="Calibri" w:eastAsia="Calibri" w:hAnsi="Calibri" w:cs="Calibri"/>
          <w:b/>
          <w:color w:val="000000"/>
        </w:rPr>
        <w:t>Information about the study programme</w:t>
      </w:r>
    </w:p>
    <w:tbl>
      <w:tblPr>
        <w:tblStyle w:val="a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19"/>
        <w:gridCol w:w="5782"/>
      </w:tblGrid>
      <w:tr w:rsidR="00795C64" w:rsidRPr="007C5BD9" w14:paraId="67B247FA" w14:textId="77777777">
        <w:trPr>
          <w:jc w:val="center"/>
        </w:trPr>
        <w:tc>
          <w:tcPr>
            <w:tcW w:w="4419" w:type="dxa"/>
          </w:tcPr>
          <w:p w14:paraId="5C972029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1.1 Institution of higher education</w:t>
            </w:r>
          </w:p>
        </w:tc>
        <w:tc>
          <w:tcPr>
            <w:tcW w:w="5782" w:type="dxa"/>
            <w:vAlign w:val="center"/>
          </w:tcPr>
          <w:p w14:paraId="2CB99C6A" w14:textId="6922C230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="Calibri" w:eastAsia="Calibri" w:hAnsi="Calibri" w:cs="Calibri"/>
                <w:color w:val="000000"/>
              </w:rPr>
              <w:t>West University of Timi</w:t>
            </w:r>
            <w:r w:rsidR="00F14999" w:rsidRPr="007C5BD9">
              <w:rPr>
                <w:rFonts w:ascii="Calibri" w:eastAsia="Calibri" w:hAnsi="Calibri" w:cs="Calibri"/>
                <w:color w:val="000000"/>
              </w:rPr>
              <w:t>s</w:t>
            </w:r>
            <w:r w:rsidRPr="007C5BD9">
              <w:rPr>
                <w:rFonts w:ascii="Calibri" w:eastAsia="Calibri" w:hAnsi="Calibri" w:cs="Calibri"/>
                <w:color w:val="000000"/>
              </w:rPr>
              <w:t>oara</w:t>
            </w:r>
          </w:p>
        </w:tc>
      </w:tr>
      <w:tr w:rsidR="00477986" w:rsidRPr="007C5BD9" w14:paraId="5AC275BE" w14:textId="77777777">
        <w:trPr>
          <w:jc w:val="center"/>
        </w:trPr>
        <w:tc>
          <w:tcPr>
            <w:tcW w:w="4419" w:type="dxa"/>
          </w:tcPr>
          <w:p w14:paraId="3D8027E0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1.2 Faculty</w:t>
            </w:r>
          </w:p>
        </w:tc>
        <w:tc>
          <w:tcPr>
            <w:tcW w:w="5782" w:type="dxa"/>
            <w:vAlign w:val="center"/>
          </w:tcPr>
          <w:p w14:paraId="78867EFC" w14:textId="0D59052B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Psychology and Education Sciences</w:t>
            </w:r>
          </w:p>
        </w:tc>
      </w:tr>
      <w:tr w:rsidR="00477986" w:rsidRPr="007C5BD9" w14:paraId="30404636" w14:textId="77777777">
        <w:trPr>
          <w:jc w:val="center"/>
        </w:trPr>
        <w:tc>
          <w:tcPr>
            <w:tcW w:w="4419" w:type="dxa"/>
          </w:tcPr>
          <w:p w14:paraId="712BDEF3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1.3 Department of</w:t>
            </w:r>
          </w:p>
        </w:tc>
        <w:tc>
          <w:tcPr>
            <w:tcW w:w="5782" w:type="dxa"/>
            <w:vAlign w:val="center"/>
          </w:tcPr>
          <w:p w14:paraId="3B1503D1" w14:textId="2B27F221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Psychology</w:t>
            </w:r>
          </w:p>
        </w:tc>
      </w:tr>
      <w:tr w:rsidR="00477986" w:rsidRPr="007C5BD9" w14:paraId="4ADA12C1" w14:textId="77777777">
        <w:trPr>
          <w:jc w:val="center"/>
        </w:trPr>
        <w:tc>
          <w:tcPr>
            <w:tcW w:w="4419" w:type="dxa"/>
          </w:tcPr>
          <w:p w14:paraId="2CD264ED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1.4 Field of study</w:t>
            </w:r>
          </w:p>
        </w:tc>
        <w:tc>
          <w:tcPr>
            <w:tcW w:w="5782" w:type="dxa"/>
            <w:vAlign w:val="center"/>
          </w:tcPr>
          <w:p w14:paraId="1E76B3BD" w14:textId="3680959C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Psychology</w:t>
            </w:r>
          </w:p>
        </w:tc>
      </w:tr>
      <w:tr w:rsidR="00477986" w:rsidRPr="007C5BD9" w14:paraId="15E7547E" w14:textId="77777777">
        <w:trPr>
          <w:jc w:val="center"/>
        </w:trPr>
        <w:tc>
          <w:tcPr>
            <w:tcW w:w="4419" w:type="dxa"/>
          </w:tcPr>
          <w:p w14:paraId="2B0E5FB0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1.5 Study cycle</w:t>
            </w:r>
          </w:p>
        </w:tc>
        <w:tc>
          <w:tcPr>
            <w:tcW w:w="5782" w:type="dxa"/>
            <w:vAlign w:val="center"/>
          </w:tcPr>
          <w:p w14:paraId="6179BA27" w14:textId="7DF84F4B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Bachelor’s</w:t>
            </w:r>
          </w:p>
        </w:tc>
      </w:tr>
      <w:tr w:rsidR="00477986" w:rsidRPr="007C5BD9" w14:paraId="6C0E0C3F" w14:textId="77777777">
        <w:trPr>
          <w:jc w:val="center"/>
        </w:trPr>
        <w:tc>
          <w:tcPr>
            <w:tcW w:w="4419" w:type="dxa"/>
          </w:tcPr>
          <w:p w14:paraId="66A135F2" w14:textId="00B8D0CF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1.6 Study programme</w:t>
            </w:r>
          </w:p>
        </w:tc>
        <w:tc>
          <w:tcPr>
            <w:tcW w:w="5782" w:type="dxa"/>
            <w:vAlign w:val="center"/>
          </w:tcPr>
          <w:p w14:paraId="519F6C64" w14:textId="3A06F758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Psychology - Cognitive Science</w:t>
            </w:r>
          </w:p>
        </w:tc>
      </w:tr>
    </w:tbl>
    <w:p w14:paraId="71F8B782" w14:textId="77777777" w:rsidR="00795C64" w:rsidRPr="007C5BD9" w:rsidRDefault="00795C64">
      <w:pPr>
        <w:rPr>
          <w:rFonts w:ascii="Calibri" w:eastAsia="Calibri" w:hAnsi="Calibri" w:cs="Calibri"/>
          <w:sz w:val="20"/>
          <w:szCs w:val="20"/>
        </w:rPr>
      </w:pPr>
    </w:p>
    <w:p w14:paraId="6DA4E258" w14:textId="77777777" w:rsidR="00795C64" w:rsidRPr="007C5BD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 w:rsidRPr="007C5BD9">
        <w:rPr>
          <w:rFonts w:ascii="Calibri" w:eastAsia="Calibri" w:hAnsi="Calibri" w:cs="Calibri"/>
          <w:b/>
          <w:color w:val="000000"/>
        </w:rPr>
        <w:t>Information about the subject/discipline</w:t>
      </w:r>
    </w:p>
    <w:tbl>
      <w:tblPr>
        <w:tblStyle w:val="a0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567"/>
        <w:gridCol w:w="1559"/>
        <w:gridCol w:w="567"/>
        <w:gridCol w:w="1276"/>
        <w:gridCol w:w="1559"/>
        <w:gridCol w:w="1276"/>
        <w:gridCol w:w="1423"/>
      </w:tblGrid>
      <w:tr w:rsidR="00477986" w:rsidRPr="007C5BD9" w14:paraId="19FB4F2C" w14:textId="77777777" w:rsidTr="002A07FE">
        <w:trPr>
          <w:jc w:val="center"/>
        </w:trPr>
        <w:tc>
          <w:tcPr>
            <w:tcW w:w="4106" w:type="dxa"/>
            <w:gridSpan w:val="3"/>
          </w:tcPr>
          <w:p w14:paraId="698C4E5D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2.1 Name</w:t>
            </w:r>
          </w:p>
        </w:tc>
        <w:tc>
          <w:tcPr>
            <w:tcW w:w="6101" w:type="dxa"/>
            <w:gridSpan w:val="5"/>
            <w:vAlign w:val="center"/>
          </w:tcPr>
          <w:p w14:paraId="46A7447D" w14:textId="2F9E70D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Introduction to clinical cognitive sciences</w:t>
            </w:r>
          </w:p>
        </w:tc>
      </w:tr>
      <w:tr w:rsidR="00477986" w:rsidRPr="007C5BD9" w14:paraId="0D9C69DF" w14:textId="77777777" w:rsidTr="002A07FE">
        <w:trPr>
          <w:jc w:val="center"/>
        </w:trPr>
        <w:tc>
          <w:tcPr>
            <w:tcW w:w="4106" w:type="dxa"/>
            <w:gridSpan w:val="3"/>
          </w:tcPr>
          <w:p w14:paraId="591903B4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2.2 Course coordinator</w:t>
            </w:r>
          </w:p>
        </w:tc>
        <w:tc>
          <w:tcPr>
            <w:tcW w:w="6101" w:type="dxa"/>
            <w:gridSpan w:val="5"/>
            <w:vAlign w:val="center"/>
          </w:tcPr>
          <w:p w14:paraId="2FAFFD7D" w14:textId="3FC3971C" w:rsidR="00477986" w:rsidRPr="007C5BD9" w:rsidRDefault="0015007D" w:rsidP="0015007D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 w:rsidRPr="007C5BD9">
              <w:rPr>
                <w:rFonts w:asciiTheme="minorHAnsi" w:eastAsia="Calibri" w:hAnsiTheme="minorHAnsi" w:cstheme="minorHAnsi"/>
              </w:rPr>
              <w:t>Lecturer Mugur Daniel CIUMĂGEANU</w:t>
            </w:r>
            <w:r w:rsidRPr="007C5BD9">
              <w:rPr>
                <w:rFonts w:ascii="Calibri" w:eastAsia="Calibri" w:hAnsi="Calibri" w:cs="Calibri"/>
              </w:rPr>
              <w:t>, Ph.D.</w:t>
            </w:r>
          </w:p>
        </w:tc>
      </w:tr>
      <w:tr w:rsidR="00477986" w:rsidRPr="007C5BD9" w14:paraId="6A887BB2" w14:textId="77777777" w:rsidTr="002A07FE">
        <w:trPr>
          <w:jc w:val="center"/>
        </w:trPr>
        <w:tc>
          <w:tcPr>
            <w:tcW w:w="4106" w:type="dxa"/>
            <w:gridSpan w:val="3"/>
          </w:tcPr>
          <w:p w14:paraId="44965219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2.3 Seminar coordinator</w:t>
            </w:r>
          </w:p>
        </w:tc>
        <w:tc>
          <w:tcPr>
            <w:tcW w:w="6101" w:type="dxa"/>
            <w:gridSpan w:val="5"/>
            <w:vAlign w:val="center"/>
          </w:tcPr>
          <w:p w14:paraId="55D86ADD" w14:textId="240EC1B6" w:rsidR="00477986" w:rsidRPr="007C5BD9" w:rsidRDefault="0015007D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 xml:space="preserve">Asist. Prof. </w:t>
            </w:r>
            <w:r w:rsidR="00477986" w:rsidRPr="007C5BD9">
              <w:rPr>
                <w:rFonts w:asciiTheme="minorHAnsi" w:hAnsiTheme="minorHAnsi" w:cstheme="minorHAnsi"/>
              </w:rPr>
              <w:t xml:space="preserve">Darian </w:t>
            </w:r>
            <w:r w:rsidRPr="007C5BD9">
              <w:rPr>
                <w:rFonts w:asciiTheme="minorHAnsi" w:hAnsiTheme="minorHAnsi" w:cstheme="minorHAnsi"/>
              </w:rPr>
              <w:t>FAUR</w:t>
            </w:r>
            <w:r w:rsidR="00477986" w:rsidRPr="007C5BD9">
              <w:rPr>
                <w:rFonts w:asciiTheme="minorHAnsi" w:hAnsiTheme="minorHAnsi" w:cstheme="minorHAnsi"/>
              </w:rPr>
              <w:t>, PhD Candidate</w:t>
            </w:r>
          </w:p>
        </w:tc>
      </w:tr>
      <w:tr w:rsidR="00477986" w:rsidRPr="007C5BD9" w14:paraId="23ACD348" w14:textId="77777777">
        <w:trPr>
          <w:jc w:val="center"/>
        </w:trPr>
        <w:tc>
          <w:tcPr>
            <w:tcW w:w="1980" w:type="dxa"/>
          </w:tcPr>
          <w:p w14:paraId="10FE4C96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2.4 Year of study</w:t>
            </w:r>
          </w:p>
        </w:tc>
        <w:tc>
          <w:tcPr>
            <w:tcW w:w="567" w:type="dxa"/>
          </w:tcPr>
          <w:p w14:paraId="06CCBFB5" w14:textId="69F15729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559" w:type="dxa"/>
          </w:tcPr>
          <w:p w14:paraId="77E3327B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2.5 Semester</w:t>
            </w:r>
          </w:p>
        </w:tc>
        <w:tc>
          <w:tcPr>
            <w:tcW w:w="567" w:type="dxa"/>
          </w:tcPr>
          <w:p w14:paraId="62148D92" w14:textId="6AA9ABA4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276" w:type="dxa"/>
          </w:tcPr>
          <w:p w14:paraId="498801AA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108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 xml:space="preserve"> 2.6 Type of assessment</w:t>
            </w:r>
          </w:p>
        </w:tc>
        <w:tc>
          <w:tcPr>
            <w:tcW w:w="1559" w:type="dxa"/>
          </w:tcPr>
          <w:p w14:paraId="01B4B89E" w14:textId="77777777" w:rsidR="00477986" w:rsidRPr="007C5BD9" w:rsidRDefault="00477986" w:rsidP="00477986">
            <w:pPr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Pr="007C5BD9">
              <w:rPr>
                <w:rFonts w:ascii="Calibri" w:eastAsia="Calibri" w:hAnsi="Calibri" w:cs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276" w:type="dxa"/>
          </w:tcPr>
          <w:p w14:paraId="0D1B416B" w14:textId="77777777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42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2.7 Type of discipline</w:t>
            </w:r>
          </w:p>
        </w:tc>
        <w:tc>
          <w:tcPr>
            <w:tcW w:w="1423" w:type="dxa"/>
          </w:tcPr>
          <w:p w14:paraId="69A96C4E" w14:textId="1E7EE95B" w:rsidR="00477986" w:rsidRPr="007C5BD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="Calibri" w:eastAsia="Calibri" w:hAnsi="Calibri" w:cs="Calibri"/>
                <w:color w:val="000000"/>
              </w:rPr>
              <w:t>DO</w:t>
            </w:r>
          </w:p>
        </w:tc>
      </w:tr>
    </w:tbl>
    <w:p w14:paraId="38322B60" w14:textId="77777777" w:rsidR="00795C64" w:rsidRPr="007C5BD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719"/>
        </w:tabs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7C5BD9">
        <w:rPr>
          <w:rFonts w:ascii="Calibri" w:eastAsia="Calibri" w:hAnsi="Calibri" w:cs="Calibri"/>
          <w:i/>
          <w:color w:val="000000"/>
        </w:rPr>
        <w:tab/>
      </w:r>
    </w:p>
    <w:p w14:paraId="77B6E0E2" w14:textId="3F867A00" w:rsidR="00795C64" w:rsidRPr="007C5BD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 w:rsidRPr="007C5BD9">
        <w:rPr>
          <w:rFonts w:ascii="Calibri" w:eastAsia="Calibri" w:hAnsi="Calibri" w:cs="Calibri"/>
          <w:b/>
          <w:color w:val="000000"/>
        </w:rPr>
        <w:t>Total estimated time (hours of teaching per semester)</w:t>
      </w:r>
      <w:r w:rsidR="0050217E" w:rsidRPr="007C5BD9">
        <w:rPr>
          <w:rStyle w:val="FootnoteReference"/>
          <w:rFonts w:ascii="Calibri" w:eastAsia="Calibri" w:hAnsi="Calibri"/>
          <w:b/>
          <w:color w:val="000000"/>
        </w:rPr>
        <w:footnoteReference w:id="2"/>
      </w:r>
    </w:p>
    <w:tbl>
      <w:tblPr>
        <w:tblStyle w:val="a1"/>
        <w:tblW w:w="10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35"/>
        <w:gridCol w:w="706"/>
        <w:gridCol w:w="142"/>
        <w:gridCol w:w="1834"/>
        <w:gridCol w:w="566"/>
        <w:gridCol w:w="2539"/>
        <w:gridCol w:w="753"/>
      </w:tblGrid>
      <w:tr w:rsidR="00795C64" w:rsidRPr="007C5BD9" w14:paraId="47DD8B05" w14:textId="77777777">
        <w:trPr>
          <w:trHeight w:val="292"/>
          <w:jc w:val="center"/>
        </w:trPr>
        <w:tc>
          <w:tcPr>
            <w:tcW w:w="3635" w:type="dxa"/>
          </w:tcPr>
          <w:p w14:paraId="3DDE243B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0"/>
              <w:rPr>
                <w:b/>
                <w:color w:val="000000"/>
              </w:rPr>
            </w:pPr>
            <w:r w:rsidRPr="007C5BD9">
              <w:rPr>
                <w:b/>
                <w:color w:val="000000"/>
              </w:rPr>
              <w:t>3.1 Number of hours per week</w:t>
            </w:r>
          </w:p>
        </w:tc>
        <w:tc>
          <w:tcPr>
            <w:tcW w:w="706" w:type="dxa"/>
          </w:tcPr>
          <w:p w14:paraId="0E20B517" w14:textId="2AAF4CE8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97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4</w:t>
            </w:r>
          </w:p>
        </w:tc>
        <w:tc>
          <w:tcPr>
            <w:tcW w:w="1976" w:type="dxa"/>
            <w:gridSpan w:val="2"/>
          </w:tcPr>
          <w:p w14:paraId="17CFFC0A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9"/>
              <w:rPr>
                <w:b/>
                <w:color w:val="000000"/>
              </w:rPr>
            </w:pPr>
            <w:r w:rsidRPr="007C5BD9">
              <w:rPr>
                <w:b/>
                <w:color w:val="000000"/>
              </w:rPr>
              <w:t>3.2 course</w:t>
            </w:r>
          </w:p>
        </w:tc>
        <w:tc>
          <w:tcPr>
            <w:tcW w:w="566" w:type="dxa"/>
          </w:tcPr>
          <w:p w14:paraId="2104C674" w14:textId="222638A0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2</w:t>
            </w:r>
          </w:p>
        </w:tc>
        <w:tc>
          <w:tcPr>
            <w:tcW w:w="2539" w:type="dxa"/>
          </w:tcPr>
          <w:p w14:paraId="4F3E1A2B" w14:textId="05369DEF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6"/>
              <w:rPr>
                <w:b/>
                <w:color w:val="000000"/>
              </w:rPr>
            </w:pPr>
            <w:r w:rsidRPr="007C5BD9">
              <w:rPr>
                <w:b/>
                <w:color w:val="000000"/>
              </w:rPr>
              <w:t xml:space="preserve">3.3 </w:t>
            </w:r>
            <w:r w:rsidR="00F94CEF" w:rsidRPr="007C5BD9">
              <w:rPr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1C7ECF25" w14:textId="2F570B85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3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2</w:t>
            </w:r>
          </w:p>
        </w:tc>
      </w:tr>
      <w:tr w:rsidR="00795C64" w:rsidRPr="007C5BD9" w14:paraId="674553EC" w14:textId="77777777">
        <w:trPr>
          <w:trHeight w:val="290"/>
          <w:jc w:val="center"/>
        </w:trPr>
        <w:tc>
          <w:tcPr>
            <w:tcW w:w="3635" w:type="dxa"/>
          </w:tcPr>
          <w:p w14:paraId="192B0AB9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 w:rsidRPr="007C5BD9">
              <w:rPr>
                <w:b/>
                <w:color w:val="000000"/>
              </w:rPr>
              <w:t>3.4 Total hours in the curriculum</w:t>
            </w:r>
          </w:p>
        </w:tc>
        <w:tc>
          <w:tcPr>
            <w:tcW w:w="706" w:type="dxa"/>
          </w:tcPr>
          <w:p w14:paraId="23470EC3" w14:textId="77EB5226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70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56</w:t>
            </w:r>
          </w:p>
        </w:tc>
        <w:tc>
          <w:tcPr>
            <w:tcW w:w="1976" w:type="dxa"/>
            <w:gridSpan w:val="2"/>
          </w:tcPr>
          <w:p w14:paraId="780E011D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9"/>
              <w:rPr>
                <w:b/>
                <w:color w:val="000000"/>
              </w:rPr>
            </w:pPr>
            <w:r w:rsidRPr="007C5BD9">
              <w:rPr>
                <w:b/>
                <w:color w:val="000000"/>
              </w:rPr>
              <w:t>3.5 course</w:t>
            </w:r>
          </w:p>
        </w:tc>
        <w:tc>
          <w:tcPr>
            <w:tcW w:w="566" w:type="dxa"/>
          </w:tcPr>
          <w:p w14:paraId="4C4DB12B" w14:textId="45834DA6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51" w:right="144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28</w:t>
            </w:r>
          </w:p>
        </w:tc>
        <w:tc>
          <w:tcPr>
            <w:tcW w:w="2539" w:type="dxa"/>
          </w:tcPr>
          <w:p w14:paraId="5B928D38" w14:textId="106E433B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6"/>
              <w:rPr>
                <w:b/>
                <w:color w:val="000000"/>
              </w:rPr>
            </w:pPr>
            <w:r w:rsidRPr="007C5BD9">
              <w:rPr>
                <w:b/>
                <w:color w:val="000000"/>
              </w:rPr>
              <w:t xml:space="preserve">3.6 </w:t>
            </w:r>
            <w:r w:rsidR="00F94CEF" w:rsidRPr="007C5BD9">
              <w:rPr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20408BF1" w14:textId="0A8F6A62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25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28</w:t>
            </w:r>
          </w:p>
        </w:tc>
      </w:tr>
      <w:tr w:rsidR="00795C64" w:rsidRPr="007C5BD9" w14:paraId="76528E47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69B1677D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 w:rsidRPr="007C5BD9">
              <w:rPr>
                <w:b/>
                <w:color w:val="000000"/>
              </w:rPr>
              <w:t>Distribution of time:</w:t>
            </w:r>
          </w:p>
        </w:tc>
        <w:tc>
          <w:tcPr>
            <w:tcW w:w="753" w:type="dxa"/>
          </w:tcPr>
          <w:p w14:paraId="55DC0FAF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77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hours</w:t>
            </w:r>
          </w:p>
        </w:tc>
      </w:tr>
      <w:tr w:rsidR="00795C64" w:rsidRPr="007C5BD9" w14:paraId="3A7A70D5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58293499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 w:rsidRPr="007C5BD9">
              <w:rPr>
                <w:color w:val="000000"/>
              </w:rPr>
              <w:t>Study based on Instructions, course materials, bibliography and notes</w:t>
            </w:r>
          </w:p>
        </w:tc>
        <w:tc>
          <w:tcPr>
            <w:tcW w:w="753" w:type="dxa"/>
          </w:tcPr>
          <w:p w14:paraId="3FD3C6B2" w14:textId="5F02FCA4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45</w:t>
            </w:r>
          </w:p>
        </w:tc>
      </w:tr>
      <w:tr w:rsidR="00795C64" w:rsidRPr="007C5BD9" w14:paraId="164DF030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064770E0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 w:rsidRPr="007C5BD9">
              <w:rPr>
                <w:color w:val="000000"/>
              </w:rPr>
              <w:t>Additional documentation library, specialized electronic platforms / field</w:t>
            </w:r>
          </w:p>
        </w:tc>
        <w:tc>
          <w:tcPr>
            <w:tcW w:w="753" w:type="dxa"/>
          </w:tcPr>
          <w:p w14:paraId="7DC1FE83" w14:textId="10A2F599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9</w:t>
            </w:r>
          </w:p>
        </w:tc>
      </w:tr>
      <w:tr w:rsidR="00795C64" w:rsidRPr="007C5BD9" w14:paraId="12C3DB2B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47041A02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10"/>
              <w:rPr>
                <w:color w:val="000000"/>
              </w:rPr>
            </w:pPr>
            <w:r w:rsidRPr="007C5BD9">
              <w:rPr>
                <w:color w:val="000000"/>
              </w:rPr>
              <w:t>Training seminars / laboratories, homework, essays, portfolios and essays</w:t>
            </w:r>
          </w:p>
        </w:tc>
        <w:tc>
          <w:tcPr>
            <w:tcW w:w="753" w:type="dxa"/>
          </w:tcPr>
          <w:p w14:paraId="03669DE4" w14:textId="6DBC4876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87" w:right="77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10</w:t>
            </w:r>
          </w:p>
        </w:tc>
      </w:tr>
      <w:tr w:rsidR="00795C64" w:rsidRPr="007C5BD9" w14:paraId="77B4EF59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7EBBC1F4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 w:rsidRPr="007C5BD9">
              <w:rPr>
                <w:color w:val="000000"/>
              </w:rPr>
              <w:t>Tutoring</w:t>
            </w:r>
          </w:p>
        </w:tc>
        <w:tc>
          <w:tcPr>
            <w:tcW w:w="753" w:type="dxa"/>
          </w:tcPr>
          <w:p w14:paraId="040CBCD5" w14:textId="6B34B859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2</w:t>
            </w:r>
          </w:p>
        </w:tc>
      </w:tr>
      <w:tr w:rsidR="00795C64" w:rsidRPr="007C5BD9" w14:paraId="2094B61F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734F1D78" w14:textId="5E2C5132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 w:rsidRPr="007C5BD9">
              <w:rPr>
                <w:color w:val="000000"/>
              </w:rPr>
              <w:t>Examinations</w:t>
            </w:r>
            <w:r w:rsidR="0050217E" w:rsidRPr="007C5BD9">
              <w:rPr>
                <w:rStyle w:val="FootnoteReference"/>
                <w:color w:val="000000"/>
              </w:rPr>
              <w:footnoteReference w:id="3"/>
            </w:r>
          </w:p>
        </w:tc>
        <w:tc>
          <w:tcPr>
            <w:tcW w:w="753" w:type="dxa"/>
          </w:tcPr>
          <w:p w14:paraId="3D2A7343" w14:textId="6091144F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3</w:t>
            </w:r>
          </w:p>
        </w:tc>
      </w:tr>
      <w:tr w:rsidR="00795C64" w:rsidRPr="007C5BD9" w14:paraId="3F40411A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041B8281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 w:rsidRPr="007C5BD9">
              <w:rPr>
                <w:color w:val="000000"/>
              </w:rPr>
              <w:t>Other activities</w:t>
            </w:r>
          </w:p>
        </w:tc>
        <w:tc>
          <w:tcPr>
            <w:tcW w:w="753" w:type="dxa"/>
          </w:tcPr>
          <w:p w14:paraId="2E6A4E07" w14:textId="38C4FCC8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-</w:t>
            </w:r>
          </w:p>
        </w:tc>
      </w:tr>
      <w:tr w:rsidR="00795C64" w:rsidRPr="007C5BD9" w14:paraId="2AE608F4" w14:textId="77777777">
        <w:trPr>
          <w:trHeight w:val="290"/>
          <w:jc w:val="center"/>
        </w:trPr>
        <w:tc>
          <w:tcPr>
            <w:tcW w:w="3635" w:type="dxa"/>
          </w:tcPr>
          <w:p w14:paraId="1F0E6521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 w:rsidRPr="007C5BD9">
              <w:rPr>
                <w:b/>
                <w:color w:val="000000"/>
              </w:rPr>
              <w:t>3.7 Total hours of individual study</w:t>
            </w:r>
          </w:p>
        </w:tc>
        <w:tc>
          <w:tcPr>
            <w:tcW w:w="848" w:type="dxa"/>
            <w:gridSpan w:val="2"/>
          </w:tcPr>
          <w:p w14:paraId="064A5EEF" w14:textId="5594B7DD" w:rsidR="00795C64" w:rsidRPr="007C5BD9" w:rsidRDefault="006909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91" w:right="286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66</w:t>
            </w:r>
          </w:p>
        </w:tc>
        <w:tc>
          <w:tcPr>
            <w:tcW w:w="5692" w:type="dxa"/>
            <w:gridSpan w:val="4"/>
            <w:vMerge w:val="restart"/>
            <w:tcBorders>
              <w:bottom w:val="nil"/>
              <w:right w:val="nil"/>
            </w:tcBorders>
          </w:tcPr>
          <w:p w14:paraId="6E28B649" w14:textId="77777777" w:rsidR="00795C64" w:rsidRPr="007C5BD9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95C64" w:rsidRPr="007C5BD9" w14:paraId="4351FB52" w14:textId="77777777">
        <w:trPr>
          <w:trHeight w:val="290"/>
          <w:jc w:val="center"/>
        </w:trPr>
        <w:tc>
          <w:tcPr>
            <w:tcW w:w="3635" w:type="dxa"/>
          </w:tcPr>
          <w:p w14:paraId="55F24AD6" w14:textId="69498044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 w:rsidRPr="007C5BD9">
              <w:rPr>
                <w:b/>
                <w:color w:val="000000"/>
              </w:rPr>
              <w:t>3.8 Total hours per semester</w:t>
            </w:r>
            <w:r w:rsidR="0050217E" w:rsidRPr="007C5BD9">
              <w:rPr>
                <w:rStyle w:val="FootnoteReference"/>
                <w:b/>
                <w:color w:val="000000"/>
              </w:rPr>
              <w:footnoteReference w:id="4"/>
            </w:r>
          </w:p>
        </w:tc>
        <w:tc>
          <w:tcPr>
            <w:tcW w:w="848" w:type="dxa"/>
            <w:gridSpan w:val="2"/>
          </w:tcPr>
          <w:p w14:paraId="4B2DD78C" w14:textId="594ADA5C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56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125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38B2ED9A" w14:textId="77777777" w:rsidR="00795C64" w:rsidRPr="007C5BD9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795C64" w:rsidRPr="007C5BD9" w14:paraId="36860057" w14:textId="77777777">
        <w:trPr>
          <w:trHeight w:val="292"/>
          <w:jc w:val="center"/>
        </w:trPr>
        <w:tc>
          <w:tcPr>
            <w:tcW w:w="3635" w:type="dxa"/>
          </w:tcPr>
          <w:p w14:paraId="3B23527B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 w:rsidRPr="007C5BD9">
              <w:rPr>
                <w:b/>
                <w:color w:val="000000"/>
              </w:rPr>
              <w:t>3.9 Number of credits</w:t>
            </w:r>
          </w:p>
        </w:tc>
        <w:tc>
          <w:tcPr>
            <w:tcW w:w="848" w:type="dxa"/>
            <w:gridSpan w:val="2"/>
          </w:tcPr>
          <w:p w14:paraId="551FFC6B" w14:textId="27A7EAEB" w:rsidR="00795C64" w:rsidRPr="007C5BD9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5"/>
              <w:jc w:val="center"/>
              <w:rPr>
                <w:bCs/>
                <w:color w:val="000000"/>
              </w:rPr>
            </w:pPr>
            <w:r w:rsidRPr="007C5BD9">
              <w:rPr>
                <w:bCs/>
                <w:color w:val="000000"/>
              </w:rPr>
              <w:t>5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47237681" w14:textId="77777777" w:rsidR="00795C64" w:rsidRPr="007C5BD9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</w:tbl>
    <w:p w14:paraId="2DB74F7C" w14:textId="77777777" w:rsidR="00AA5F3B" w:rsidRPr="007C5BD9" w:rsidRDefault="00AA5F3B" w:rsidP="006E7B9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075F2A3F" w14:textId="77777777" w:rsidR="00795C64" w:rsidRPr="007C5BD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 w:rsidRPr="007C5BD9">
        <w:rPr>
          <w:rFonts w:ascii="Calibri" w:eastAsia="Calibri" w:hAnsi="Calibri" w:cs="Calibri"/>
          <w:b/>
          <w:color w:val="000000"/>
        </w:rPr>
        <w:t>Prerequisites (where applicable)</w:t>
      </w:r>
    </w:p>
    <w:tbl>
      <w:tblPr>
        <w:tblStyle w:val="a2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8222"/>
      </w:tblGrid>
      <w:tr w:rsidR="00795C64" w:rsidRPr="007C5BD9" w14:paraId="7538C814" w14:textId="77777777">
        <w:trPr>
          <w:jc w:val="center"/>
        </w:trPr>
        <w:tc>
          <w:tcPr>
            <w:tcW w:w="1985" w:type="dxa"/>
          </w:tcPr>
          <w:p w14:paraId="68E469A8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lastRenderedPageBreak/>
              <w:t>4.1 of curriculum</w:t>
            </w:r>
          </w:p>
        </w:tc>
        <w:tc>
          <w:tcPr>
            <w:tcW w:w="8222" w:type="dxa"/>
          </w:tcPr>
          <w:p w14:paraId="1DB649C5" w14:textId="20CD166E" w:rsidR="00795C64" w:rsidRPr="007C5BD9" w:rsidRDefault="00530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="Calibri" w:eastAsia="Calibri" w:hAnsi="Calibri" w:cs="Calibri"/>
                <w:color w:val="000000"/>
              </w:rPr>
              <w:t>None</w:t>
            </w:r>
          </w:p>
        </w:tc>
      </w:tr>
      <w:tr w:rsidR="00795C64" w:rsidRPr="007C5BD9" w14:paraId="55C484FC" w14:textId="77777777">
        <w:trPr>
          <w:jc w:val="center"/>
        </w:trPr>
        <w:tc>
          <w:tcPr>
            <w:tcW w:w="1985" w:type="dxa"/>
          </w:tcPr>
          <w:p w14:paraId="1E60AC57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4.2 of skills</w:t>
            </w:r>
          </w:p>
        </w:tc>
        <w:tc>
          <w:tcPr>
            <w:tcW w:w="8222" w:type="dxa"/>
          </w:tcPr>
          <w:p w14:paraId="7DC04FDB" w14:textId="15A9CDDF" w:rsidR="00795C64" w:rsidRPr="007C5BD9" w:rsidRDefault="00530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="Calibri" w:eastAsia="Calibri" w:hAnsi="Calibri" w:cs="Calibri"/>
                <w:color w:val="000000"/>
              </w:rPr>
              <w:t>None</w:t>
            </w:r>
          </w:p>
        </w:tc>
      </w:tr>
    </w:tbl>
    <w:p w14:paraId="40C01E7F" w14:textId="77777777" w:rsidR="00AA5F3B" w:rsidRPr="007C5BD9" w:rsidRDefault="00AA5F3B">
      <w:pPr>
        <w:rPr>
          <w:rFonts w:ascii="Calibri" w:eastAsia="Calibri" w:hAnsi="Calibri" w:cs="Calibri"/>
          <w:sz w:val="20"/>
          <w:szCs w:val="20"/>
        </w:rPr>
      </w:pPr>
    </w:p>
    <w:p w14:paraId="6A74FEA6" w14:textId="77777777" w:rsidR="00795C64" w:rsidRPr="007C5BD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 w:rsidRPr="007C5BD9">
        <w:rPr>
          <w:rFonts w:ascii="Calibri" w:eastAsia="Calibri" w:hAnsi="Calibri" w:cs="Calibri"/>
          <w:b/>
          <w:color w:val="000000"/>
        </w:rPr>
        <w:t>Conditions (where applicable)</w:t>
      </w:r>
    </w:p>
    <w:tbl>
      <w:tblPr>
        <w:tblStyle w:val="a3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0"/>
        <w:gridCol w:w="6237"/>
      </w:tblGrid>
      <w:tr w:rsidR="00795C64" w:rsidRPr="007C5BD9" w14:paraId="2E86DA41" w14:textId="77777777">
        <w:trPr>
          <w:jc w:val="center"/>
        </w:trPr>
        <w:tc>
          <w:tcPr>
            <w:tcW w:w="3970" w:type="dxa"/>
            <w:vAlign w:val="center"/>
          </w:tcPr>
          <w:p w14:paraId="255A1C05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5.1 for the course</w:t>
            </w:r>
          </w:p>
        </w:tc>
        <w:tc>
          <w:tcPr>
            <w:tcW w:w="6237" w:type="dxa"/>
            <w:vAlign w:val="center"/>
          </w:tcPr>
          <w:p w14:paraId="0CF1AD02" w14:textId="544901F6" w:rsidR="00795C64" w:rsidRPr="007C5BD9" w:rsidRDefault="00530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Google Classroom code: noxrn2iu</w:t>
            </w:r>
          </w:p>
        </w:tc>
      </w:tr>
      <w:tr w:rsidR="00795C64" w:rsidRPr="007C5BD9" w14:paraId="3C887C74" w14:textId="77777777">
        <w:trPr>
          <w:trHeight w:val="79"/>
          <w:jc w:val="center"/>
        </w:trPr>
        <w:tc>
          <w:tcPr>
            <w:tcW w:w="3970" w:type="dxa"/>
            <w:vAlign w:val="center"/>
          </w:tcPr>
          <w:p w14:paraId="066FAFC1" w14:textId="77777777" w:rsidR="00795C64" w:rsidRPr="007C5BD9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for the seminar</w:t>
            </w:r>
          </w:p>
        </w:tc>
        <w:tc>
          <w:tcPr>
            <w:tcW w:w="6237" w:type="dxa"/>
            <w:vAlign w:val="center"/>
          </w:tcPr>
          <w:p w14:paraId="05B6452D" w14:textId="408880ED" w:rsidR="00795C64" w:rsidRPr="007C5BD9" w:rsidRDefault="00530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Google Classroom code: noxrn2iu</w:t>
            </w:r>
          </w:p>
        </w:tc>
      </w:tr>
    </w:tbl>
    <w:p w14:paraId="4A9F007C" w14:textId="77777777" w:rsidR="00795C64" w:rsidRPr="007C5BD9" w:rsidRDefault="00795C64">
      <w:pPr>
        <w:rPr>
          <w:rFonts w:ascii="Calibri" w:eastAsia="Calibri" w:hAnsi="Calibri" w:cs="Calibri"/>
        </w:rPr>
      </w:pPr>
    </w:p>
    <w:p w14:paraId="50E27F98" w14:textId="1E149F9A" w:rsidR="00795C64" w:rsidRPr="007C5BD9" w:rsidRDefault="008752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 w:rsidRPr="007C5BD9">
        <w:rPr>
          <w:rFonts w:ascii="Calibri" w:hAnsi="Calibri" w:cs="Calibri"/>
          <w:b/>
          <w:bCs/>
          <w:color w:val="000000"/>
        </w:rPr>
        <w:t>Discipline objectives - expected learning outcomes which contribute to the completion and passing the discipline</w:t>
      </w:r>
    </w:p>
    <w:tbl>
      <w:tblPr>
        <w:tblStyle w:val="a4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227"/>
      </w:tblGrid>
      <w:tr w:rsidR="00795C64" w:rsidRPr="007C5BD9" w14:paraId="39CD9B40" w14:textId="77777777">
        <w:trPr>
          <w:cantSplit/>
          <w:trHeight w:val="827"/>
          <w:jc w:val="center"/>
        </w:trPr>
        <w:tc>
          <w:tcPr>
            <w:tcW w:w="1980" w:type="dxa"/>
            <w:vAlign w:val="center"/>
          </w:tcPr>
          <w:p w14:paraId="1C45CF4D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Knowledge</w:t>
            </w:r>
          </w:p>
        </w:tc>
        <w:tc>
          <w:tcPr>
            <w:tcW w:w="8227" w:type="dxa"/>
            <w:vAlign w:val="center"/>
          </w:tcPr>
          <w:p w14:paraId="7845CED4" w14:textId="105911CD" w:rsidR="00530F08" w:rsidRPr="007C5BD9" w:rsidRDefault="00530F08" w:rsidP="00530F08">
            <w:pPr>
              <w:jc w:val="both"/>
              <w:rPr>
                <w:rFonts w:ascii="Calibri" w:eastAsia="Calibri" w:hAnsi="Calibri" w:cs="Calibri"/>
              </w:rPr>
            </w:pPr>
            <w:r w:rsidRPr="007C5BD9">
              <w:rPr>
                <w:rFonts w:ascii="Calibri" w:eastAsia="Calibri" w:hAnsi="Calibri" w:cs="Calibri"/>
              </w:rPr>
              <w:t>- Students will develop a thorough understanding of the theoretical and research field of cognitive sciences with relevance for the clinical domain (both concerning neurological as well as psychopathological approaches)</w:t>
            </w:r>
          </w:p>
          <w:p w14:paraId="3D2E71B9" w14:textId="757F7C9E" w:rsidR="00795C64" w:rsidRPr="007C5BD9" w:rsidRDefault="00530F08" w:rsidP="00530F08">
            <w:pPr>
              <w:jc w:val="both"/>
              <w:rPr>
                <w:rFonts w:ascii="Calibri" w:eastAsia="Calibri" w:hAnsi="Calibri" w:cs="Calibri"/>
              </w:rPr>
            </w:pPr>
            <w:r w:rsidRPr="007C5BD9">
              <w:rPr>
                <w:rFonts w:ascii="Calibri" w:eastAsia="Calibri" w:hAnsi="Calibri" w:cs="Calibri"/>
              </w:rPr>
              <w:t>- Students will gain introductory information by conducting assessments, interventions and research on clinical features relevant for the field.</w:t>
            </w:r>
          </w:p>
        </w:tc>
      </w:tr>
      <w:tr w:rsidR="00795C64" w:rsidRPr="007C5BD9" w14:paraId="430AAEDC" w14:textId="77777777">
        <w:trPr>
          <w:cantSplit/>
          <w:trHeight w:val="712"/>
          <w:jc w:val="center"/>
        </w:trPr>
        <w:tc>
          <w:tcPr>
            <w:tcW w:w="1980" w:type="dxa"/>
            <w:vAlign w:val="center"/>
          </w:tcPr>
          <w:p w14:paraId="1FC9C64F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Skills</w:t>
            </w:r>
          </w:p>
        </w:tc>
        <w:tc>
          <w:tcPr>
            <w:tcW w:w="8227" w:type="dxa"/>
            <w:vAlign w:val="center"/>
          </w:tcPr>
          <w:p w14:paraId="62609417" w14:textId="61DC66CB" w:rsidR="00530F08" w:rsidRPr="007C5BD9" w:rsidRDefault="00530F08" w:rsidP="00530F08">
            <w:pPr>
              <w:jc w:val="both"/>
              <w:rPr>
                <w:rFonts w:ascii="Calibri" w:eastAsia="Calibri" w:hAnsi="Calibri" w:cs="Calibri"/>
              </w:rPr>
            </w:pPr>
            <w:r w:rsidRPr="007C5BD9">
              <w:rPr>
                <w:rFonts w:ascii="Calibri" w:eastAsia="Calibri" w:hAnsi="Calibri" w:cs="Calibri"/>
              </w:rPr>
              <w:t xml:space="preserve">- Students will learn to critically engage with the scientific literature relevant to the field, as well as critically engage with psychological, neuro- and cognitive paradigms and theories from a cognitive science perspective. </w:t>
            </w:r>
          </w:p>
          <w:p w14:paraId="1AC9994C" w14:textId="6F393FE3" w:rsidR="00795C64" w:rsidRPr="007C5BD9" w:rsidRDefault="00530F08" w:rsidP="00530F08">
            <w:pPr>
              <w:jc w:val="both"/>
              <w:rPr>
                <w:rFonts w:ascii="Calibri" w:eastAsia="Calibri" w:hAnsi="Calibri" w:cs="Calibri"/>
              </w:rPr>
            </w:pPr>
            <w:r w:rsidRPr="007C5BD9">
              <w:rPr>
                <w:rFonts w:ascii="Calibri" w:eastAsia="Calibri" w:hAnsi="Calibri" w:cs="Calibri"/>
              </w:rPr>
              <w:t xml:space="preserve">- Students will learn the basics of assessment and cognitive-science-informed interventions. </w:t>
            </w:r>
          </w:p>
        </w:tc>
      </w:tr>
      <w:tr w:rsidR="00795C64" w:rsidRPr="007C5BD9" w14:paraId="53FD5F88" w14:textId="77777777">
        <w:trPr>
          <w:cantSplit/>
          <w:trHeight w:val="978"/>
          <w:jc w:val="center"/>
        </w:trPr>
        <w:tc>
          <w:tcPr>
            <w:tcW w:w="1980" w:type="dxa"/>
            <w:vAlign w:val="center"/>
          </w:tcPr>
          <w:p w14:paraId="0BE2F4E2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Responsibility and autonomy</w:t>
            </w:r>
          </w:p>
        </w:tc>
        <w:tc>
          <w:tcPr>
            <w:tcW w:w="8227" w:type="dxa"/>
            <w:vAlign w:val="center"/>
          </w:tcPr>
          <w:p w14:paraId="70A564AB" w14:textId="0C657299" w:rsidR="00530F08" w:rsidRPr="007C5BD9" w:rsidRDefault="00530F08" w:rsidP="00530F08">
            <w:pPr>
              <w:jc w:val="both"/>
              <w:rPr>
                <w:rFonts w:ascii="Calibri" w:eastAsia="Calibri" w:hAnsi="Calibri" w:cs="Calibri"/>
              </w:rPr>
            </w:pPr>
            <w:r w:rsidRPr="007C5BD9">
              <w:rPr>
                <w:rFonts w:ascii="Calibri" w:eastAsia="Calibri" w:hAnsi="Calibri" w:cs="Calibri"/>
              </w:rPr>
              <w:t xml:space="preserve">- Students will learn to engage with research participants in clinical settings ethically. </w:t>
            </w:r>
          </w:p>
          <w:p w14:paraId="1CD9361B" w14:textId="70F638C2" w:rsidR="00795C64" w:rsidRPr="007C5BD9" w:rsidRDefault="00530F08" w:rsidP="00530F08">
            <w:pPr>
              <w:jc w:val="both"/>
              <w:rPr>
                <w:rFonts w:ascii="Calibri" w:eastAsia="Calibri" w:hAnsi="Calibri" w:cs="Calibri"/>
              </w:rPr>
            </w:pPr>
            <w:r w:rsidRPr="007C5BD9">
              <w:rPr>
                <w:rFonts w:ascii="Calibri" w:eastAsia="Calibri" w:hAnsi="Calibri" w:cs="Calibri"/>
              </w:rPr>
              <w:t xml:space="preserve">- Students will develop individual and collaborative working skills, as well as critical thinking and argumentation skills. </w:t>
            </w:r>
          </w:p>
        </w:tc>
      </w:tr>
    </w:tbl>
    <w:p w14:paraId="3A46C750" w14:textId="77777777" w:rsidR="00795C64" w:rsidRPr="007C5BD9" w:rsidRDefault="00795C64">
      <w:pPr>
        <w:rPr>
          <w:rFonts w:ascii="Calibri" w:eastAsia="Calibri" w:hAnsi="Calibri" w:cs="Calibri"/>
          <w:sz w:val="20"/>
          <w:szCs w:val="20"/>
        </w:rPr>
      </w:pPr>
    </w:p>
    <w:p w14:paraId="485918E9" w14:textId="77777777" w:rsidR="00795C64" w:rsidRPr="007C5BD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 w:rsidRPr="007C5BD9">
        <w:rPr>
          <w:rFonts w:ascii="Calibri" w:eastAsia="Calibri" w:hAnsi="Calibri" w:cs="Calibri"/>
          <w:b/>
          <w:color w:val="000000"/>
        </w:rPr>
        <w:t>Contents</w:t>
      </w:r>
    </w:p>
    <w:p w14:paraId="13DB2D3A" w14:textId="29834FB4" w:rsidR="0050217E" w:rsidRPr="007C5BD9" w:rsidRDefault="0050217E" w:rsidP="0050217E">
      <w:pPr>
        <w:pStyle w:val="ListParagraph"/>
        <w:spacing w:line="276" w:lineRule="auto"/>
        <w:jc w:val="both"/>
        <w:rPr>
          <w:rFonts w:ascii="Calibri" w:hAnsi="Calibri" w:cs="Calibri"/>
          <w:bCs/>
        </w:rPr>
      </w:pPr>
      <w:r w:rsidRPr="007C5BD9">
        <w:rPr>
          <w:rFonts w:ascii="Calibri" w:hAnsi="Calibri" w:cs="Calibri"/>
        </w:rPr>
        <w:t>The platform through which the course materials in electronic format and other learning/bibliographic resources can be accessed:</w:t>
      </w:r>
      <w:r w:rsidR="00C9624C" w:rsidRPr="007C5BD9">
        <w:rPr>
          <w:rFonts w:ascii="Calibri" w:hAnsi="Calibri" w:cs="Calibri"/>
          <w:bCs/>
        </w:rPr>
        <w:t xml:space="preserve"> Google Classroom</w:t>
      </w:r>
    </w:p>
    <w:tbl>
      <w:tblPr>
        <w:tblStyle w:val="a5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2070"/>
        <w:gridCol w:w="5256"/>
      </w:tblGrid>
      <w:tr w:rsidR="00795C64" w:rsidRPr="007C5BD9" w14:paraId="4AB7F902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7C1D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7.1 Course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135E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Teaching methods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C4C8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Comments</w:t>
            </w:r>
          </w:p>
        </w:tc>
      </w:tr>
      <w:tr w:rsidR="006034CC" w:rsidRPr="007C5BD9" w14:paraId="797746F6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89F17" w14:textId="7C23D542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C1. Introduction to clinical cognitive science paradigm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BF545" w14:textId="05B95272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 and open class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2F96" w14:textId="319C907E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Glossary of terms, related theories, and research paradigms</w:t>
            </w:r>
          </w:p>
        </w:tc>
      </w:tr>
      <w:tr w:rsidR="006034CC" w:rsidRPr="007C5BD9" w14:paraId="331A4E8F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A316B" w14:textId="61BC231E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C2. Classification systems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6BED9" w14:textId="099C1596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450BE" w14:textId="43F4CD3F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Categorical vs. dimensional approach to psychopathology: RDoC, HiTOP, DSM/ICD</w:t>
            </w:r>
          </w:p>
        </w:tc>
      </w:tr>
      <w:tr w:rsidR="006034CC" w:rsidRPr="007C5BD9" w14:paraId="7481F31F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8D02" w14:textId="50C6C8A9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C3. The clinical flow from a cognitive science outlook: schizophrenia (part 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23D06" w14:textId="750CDF28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BEAF7" w14:textId="09D9F85F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Intake and case formulation: clinical psychology vs. cognitive clinical psychology</w:t>
            </w:r>
          </w:p>
        </w:tc>
      </w:tr>
      <w:tr w:rsidR="006034CC" w:rsidRPr="007C5BD9" w14:paraId="0712AA85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B4582" w14:textId="0A1A0B4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C4. The clinical flow from a cognitive science outlook: schizophrenia (part 2)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8097" w14:textId="242FC0E5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FFE11" w14:textId="5707CEB5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Assessment methods (traditional instruments and cognitive-based instruments)</w:t>
            </w:r>
          </w:p>
        </w:tc>
      </w:tr>
      <w:tr w:rsidR="006034CC" w:rsidRPr="007C5BD9" w14:paraId="7A78369E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3581" w14:textId="6191D476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C5. The clinical flow from a cognitive science outlook: schizophrenia (part 3)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2910B" w14:textId="3290A37C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34484" w14:textId="71DCA61C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Intervention (traditional approaches and cognitive-based strategies)</w:t>
            </w:r>
          </w:p>
        </w:tc>
      </w:tr>
      <w:tr w:rsidR="006034CC" w:rsidRPr="007C5BD9" w14:paraId="6BFD65AF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44114" w14:textId="38DD66C0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C6. Psychopathology of depression from a cognitive science perspective (part 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16120" w14:textId="20BBA0D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7DFB1" w14:textId="5916A183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Intake and case formulation</w:t>
            </w:r>
          </w:p>
        </w:tc>
      </w:tr>
      <w:tr w:rsidR="006034CC" w:rsidRPr="007C5BD9" w14:paraId="0380F801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F462" w14:textId="543F0205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C7. Psychopathology of depression from a cognitive science perspective (part 2)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A0AE7" w14:textId="103D5515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0F558" w14:textId="1BF5C340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Assessment methods</w:t>
            </w:r>
          </w:p>
        </w:tc>
      </w:tr>
      <w:tr w:rsidR="006034CC" w:rsidRPr="007C5BD9" w14:paraId="04412AD9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A6687" w14:textId="3E501FB4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C8. Psychopathology of depression from a cognitive science perspective (part 3)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3457" w14:textId="22DD11BC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0CBA3" w14:textId="15FE2EDE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Intervention</w:t>
            </w:r>
          </w:p>
        </w:tc>
      </w:tr>
      <w:tr w:rsidR="006034CC" w:rsidRPr="007C5BD9" w14:paraId="677ABA97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2D54B" w14:textId="5358BEC2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C9. Psychopathology of anxiety from a cognitive science perspective (part 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D6A13" w14:textId="0E9AF697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B2DDA" w14:textId="69F2B7B9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 xml:space="preserve">Intake and case formulation </w:t>
            </w:r>
          </w:p>
        </w:tc>
      </w:tr>
      <w:tr w:rsidR="006034CC" w:rsidRPr="007C5BD9" w14:paraId="4416B6E4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B60F5" w14:textId="1F7F2F3E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C10. Psychopathology of anxiety from a cognitive science perspective (part 2)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374AA" w14:textId="6D441ABD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F798B" w14:textId="68C2ADDB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Assessment methods</w:t>
            </w:r>
          </w:p>
        </w:tc>
      </w:tr>
      <w:tr w:rsidR="006034CC" w:rsidRPr="007C5BD9" w14:paraId="6759AC3F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A90CB" w14:textId="0F94ABA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C11. Psychopathology of anxiety from a cognitive science perspective (part 3)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184BA" w14:textId="558A4AF5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DAA44" w14:textId="356A8DAB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Intervention</w:t>
            </w:r>
          </w:p>
        </w:tc>
      </w:tr>
      <w:tr w:rsidR="006034CC" w:rsidRPr="007C5BD9" w14:paraId="3DAFFC40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D4329" w14:textId="53C9ABD7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C12. Psychopathology of addictions from a cognitive science perspective (part 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63F54" w14:textId="7AD24552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865A3" w14:textId="6FBA6268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Intake and case formulation &amp; Assessment methods</w:t>
            </w:r>
          </w:p>
        </w:tc>
      </w:tr>
      <w:tr w:rsidR="006034CC" w:rsidRPr="007C5BD9" w14:paraId="01A8D7D9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91BAE" w14:textId="5C5E274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C13. Psychopathology of addictions from a cognitive science perspective (part 2)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795D6" w14:textId="2316374C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C1259" w14:textId="26542A4A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Intervention</w:t>
            </w:r>
          </w:p>
        </w:tc>
      </w:tr>
      <w:tr w:rsidR="006034CC" w:rsidRPr="007C5BD9" w14:paraId="1AD19018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8F3F5" w14:textId="0E7298D6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C14. Personality and personality disorders from a cognitive science perspective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3D60B" w14:textId="5D5DF786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participatory lecture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74E3F" w14:textId="78EDA8D7" w:rsidR="006034CC" w:rsidRPr="007C5BD9" w:rsidRDefault="006034CC" w:rsidP="0035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 xml:space="preserve">Cognitive-focused elements involved in personality disorders </w:t>
            </w:r>
          </w:p>
        </w:tc>
      </w:tr>
      <w:tr w:rsidR="006034CC" w:rsidRPr="007C5BD9" w14:paraId="53C4BC1B" w14:textId="77777777">
        <w:trPr>
          <w:jc w:val="center"/>
        </w:trPr>
        <w:tc>
          <w:tcPr>
            <w:tcW w:w="10201" w:type="dxa"/>
            <w:gridSpan w:val="3"/>
            <w:shd w:val="clear" w:color="auto" w:fill="FFFFFF"/>
          </w:tcPr>
          <w:p w14:paraId="7491ADF3" w14:textId="77777777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Bibliography:</w:t>
            </w:r>
          </w:p>
          <w:p w14:paraId="13CB3D30" w14:textId="77777777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</w:p>
          <w:p w14:paraId="068006F1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Brewin, C. R. (1988). Cognitive Foundations of Clinical Psychology. </w:t>
            </w:r>
            <w:r w:rsidRPr="007C5BD9">
              <w:rPr>
                <w:rFonts w:asciiTheme="minorHAnsi" w:hAnsiTheme="minorHAnsi" w:cstheme="minorHAnsi"/>
                <w:sz w:val="22"/>
                <w:szCs w:val="22"/>
              </w:rPr>
              <w:t>Psychology Press.</w:t>
            </w:r>
          </w:p>
          <w:p w14:paraId="7896FCB3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  <w:p w14:paraId="53696539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Banich, M.T. &amp; Compton, R.J. (eds.) (2010) </w:t>
            </w:r>
            <w:r w:rsidRPr="007C5BD9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o-RO"/>
              </w:rPr>
              <w:t>Cognitive neuroscience</w:t>
            </w: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(3rd edition). Wadsworth.</w:t>
            </w:r>
          </w:p>
          <w:p w14:paraId="0D5D21D6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  <w:p w14:paraId="48E7D852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Cohen, H. &amp; Lefebvre, C. (eds.) (2005) </w:t>
            </w:r>
            <w:r w:rsidRPr="007C5BD9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o-RO"/>
              </w:rPr>
              <w:t>Handbook of categorization in cognitive science</w:t>
            </w: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. Elsevier. </w:t>
            </w:r>
          </w:p>
          <w:p w14:paraId="0162A9DE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  <w:p w14:paraId="411B6897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Higgins, E.S. &amp; George, M.S. (2013) </w:t>
            </w:r>
            <w:r w:rsidRPr="007C5BD9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o-RO"/>
              </w:rPr>
              <w:t>The neuroscience of clinical psychiatry. The pathophysiology of behavior and mental illness (3rd edition)</w:t>
            </w: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. Wolters Kluver/Lippincott. </w:t>
            </w:r>
          </w:p>
          <w:p w14:paraId="53883283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  <w:p w14:paraId="2B069FBC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Jang, K.L. (2005) </w:t>
            </w:r>
            <w:r w:rsidRPr="007C5BD9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o-RO"/>
              </w:rPr>
              <w:t>The behavioral genetics of psychopathology</w:t>
            </w: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. Lawrence Erlbaum Associates. </w:t>
            </w:r>
          </w:p>
          <w:p w14:paraId="382AC876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  <w:p w14:paraId="5C59368D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Neufled, R.W.J. (ed.) (2007) </w:t>
            </w:r>
            <w:r w:rsidRPr="007C5BD9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o-RO"/>
              </w:rPr>
              <w:t>Advances in clinical cognitive science. Formal modeling of processes and symptoms.</w:t>
            </w: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American Psychological Association. </w:t>
            </w:r>
          </w:p>
          <w:p w14:paraId="658E9756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  <w:p w14:paraId="2A50AF76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Salkovskis, P. (ed.) (1996) </w:t>
            </w:r>
            <w:r w:rsidRPr="007C5BD9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o-RO"/>
              </w:rPr>
              <w:t xml:space="preserve">Frontiers of cognitive therapy. </w:t>
            </w: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Guilford Press. </w:t>
            </w:r>
          </w:p>
          <w:p w14:paraId="746806F3" w14:textId="77777777" w:rsidR="006034CC" w:rsidRPr="007C5BD9" w:rsidRDefault="006034CC" w:rsidP="006034CC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  <w:p w14:paraId="1CD28854" w14:textId="55DF843F" w:rsidR="006034CC" w:rsidRPr="007C5BD9" w:rsidRDefault="006034CC" w:rsidP="006034CC">
            <w:pPr>
              <w:rPr>
                <w:rFonts w:ascii="Calibri" w:eastAsia="Calibri" w:hAnsi="Calibri" w:cs="Calibri"/>
              </w:rPr>
            </w:pP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Stein, D.J. &amp; Young, J.E. (eds.) (1992) </w:t>
            </w:r>
            <w:r w:rsidRPr="007C5BD9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o-RO"/>
              </w:rPr>
              <w:t>Cognitive science and clinical disorders</w:t>
            </w:r>
            <w:r w:rsidRPr="007C5BD9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. Academic Press. </w:t>
            </w:r>
          </w:p>
        </w:tc>
      </w:tr>
      <w:tr w:rsidR="006034CC" w:rsidRPr="007C5BD9" w14:paraId="351863E1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3D7D" w14:textId="77777777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7.2. Seminar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AA8B" w14:textId="77777777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Teaching methods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70EE" w14:textId="77777777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Comments</w:t>
            </w:r>
          </w:p>
        </w:tc>
      </w:tr>
      <w:tr w:rsidR="006034CC" w:rsidRPr="007C5BD9" w14:paraId="0F3833F4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C8D87" w14:textId="0149B23E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 xml:space="preserve">S1. Introduction to the clinical cognitive science paradigm. Outlines and applications.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1EE6" w14:textId="0347AFDF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2AC17" w14:textId="77777777" w:rsidR="006034CC" w:rsidRPr="007C5BD9" w:rsidRDefault="006034CC" w:rsidP="006034C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C5BD9">
              <w:rPr>
                <w:rFonts w:asciiTheme="minorHAnsi" w:hAnsiTheme="minorHAnsi" w:cstheme="minorHAnsi"/>
                <w:bCs/>
                <w:sz w:val="22"/>
                <w:szCs w:val="22"/>
              </w:rPr>
              <w:t>Introductory seminar</w:t>
            </w:r>
          </w:p>
          <w:p w14:paraId="718D3D48" w14:textId="77777777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E4459DD" w14:textId="03265B67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To read: Pluck, G., &amp; Ariyabuddhiphongs, K. (2024). Clinical cognitive sciences. In A. Aldini (Ed.), </w:t>
            </w:r>
            <w:r w:rsidRPr="007C5BD9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Software engineering and formal methods. SEFM 2023 collocated </w:t>
            </w:r>
            <w:r w:rsidRPr="007C5BD9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lastRenderedPageBreak/>
              <w:t>workshops</w:t>
            </w:r>
            <w:r w:rsidRPr="007C5BD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(pp. 130–148). Springer. </w:t>
            </w:r>
            <w:hyperlink r:id="rId9" w:history="1">
              <w:r w:rsidRPr="007C5BD9">
                <w:rPr>
                  <w:rStyle w:val="Hyperlink"/>
                  <w:rFonts w:asciiTheme="minorHAnsi" w:hAnsiTheme="minorHAnsi" w:cstheme="minorHAnsi"/>
                  <w:bCs/>
                  <w:sz w:val="22"/>
                  <w:szCs w:val="22"/>
                </w:rPr>
                <w:t>https://doi.org/10.1007/978-3-031-66021-4_9</w:t>
              </w:r>
            </w:hyperlink>
          </w:p>
        </w:tc>
      </w:tr>
      <w:tr w:rsidR="006034CC" w:rsidRPr="007C5BD9" w14:paraId="353B59B6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C1BF" w14:textId="762F222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lastRenderedPageBreak/>
              <w:t xml:space="preserve">S2. Classification systems. Comparative case study.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EBFBC" w14:textId="093EA7B6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4ADBC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</w:rPr>
            </w:pPr>
            <w:r w:rsidRPr="007C5BD9">
              <w:rPr>
                <w:rFonts w:asciiTheme="minorHAnsi" w:hAnsiTheme="minorHAnsi" w:cstheme="minorHAnsi"/>
              </w:rPr>
              <w:t>Case study (Comparative application between different classification models)</w:t>
            </w:r>
          </w:p>
          <w:p w14:paraId="0579DD1E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  <w:p w14:paraId="2F2476E1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 xml:space="preserve">To read: Maddux, J. E., Winstead, B. A., &amp; Gosselin, J. T. (2025). Conceptions of psychopathology: A social constructionist perspective. In J. E. Maddux &amp; B. A. Winstead (Eds.), 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Psychopathology: Foundations for a contemporary understanding</w:t>
            </w:r>
            <w:r w:rsidRPr="007C5BD9">
              <w:rPr>
                <w:rFonts w:asciiTheme="minorHAnsi" w:hAnsiTheme="minorHAnsi" w:cstheme="minorHAnsi"/>
                <w:bCs/>
              </w:rPr>
              <w:t xml:space="preserve"> (6th ed., pp. 3–24). Routledge.</w:t>
            </w:r>
          </w:p>
          <w:p w14:paraId="24F16B4F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  <w:i/>
                <w:iCs/>
              </w:rPr>
            </w:pPr>
          </w:p>
          <w:p w14:paraId="5CAE79CF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Kotov, R., Cicero, D. C., Conway, C. C., DeYoung, C. G., Dombrovski, A., Eaton, N. R., ... &amp; Wright, A. G. (2022). The Hierarchical Taxonomy of Psychopathology (HiTOP) in psychiatric practice and research.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Psychological medicine, 52</w:t>
            </w:r>
            <w:r w:rsidRPr="007C5BD9">
              <w:rPr>
                <w:rFonts w:asciiTheme="minorHAnsi" w:hAnsiTheme="minorHAnsi" w:cstheme="minorHAnsi"/>
                <w:bCs/>
              </w:rPr>
              <w:t>(9), 1666-1678.</w:t>
            </w:r>
          </w:p>
          <w:p w14:paraId="2C83D850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5BBE792B" w14:textId="590E2DEF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 xml:space="preserve">American Psychiatric Association. (2022). Introduction. In 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Diagnostic and statistical manual of mental disorders</w:t>
            </w:r>
            <w:r w:rsidRPr="007C5BD9">
              <w:rPr>
                <w:rFonts w:asciiTheme="minorHAnsi" w:hAnsiTheme="minorHAnsi" w:cstheme="minorHAnsi"/>
                <w:bCs/>
              </w:rPr>
              <w:t xml:space="preserve"> (5th ed., text rev.).</w:t>
            </w:r>
          </w:p>
        </w:tc>
      </w:tr>
      <w:tr w:rsidR="006034CC" w:rsidRPr="007C5BD9" w14:paraId="001EEC77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74F5" w14:textId="1004FE7F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S3. Applications for the clinical flow from a cognitive science outlook: schizophrenia (part 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CACAC" w14:textId="2AA40B5B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464E4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study – clinician flow in schizophrenia (differences in case formulation and objectives between a traditional clinical approach and a cognitive clinical approach)</w:t>
            </w:r>
          </w:p>
          <w:p w14:paraId="2AAF7FEE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29CBA61A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To read: American Psychiatric Association. (2022). Schizophrenia Spectrum and Other</w:t>
            </w:r>
          </w:p>
          <w:p w14:paraId="04B008B8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 xml:space="preserve">Psychotic Disorders. In 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Diagnostic and statistical manual of mental disorders</w:t>
            </w:r>
            <w:r w:rsidRPr="007C5BD9">
              <w:rPr>
                <w:rFonts w:asciiTheme="minorHAnsi" w:hAnsiTheme="minorHAnsi" w:cstheme="minorHAnsi"/>
                <w:bCs/>
              </w:rPr>
              <w:t xml:space="preserve"> (5th ed., text rev.).</w:t>
            </w:r>
          </w:p>
          <w:p w14:paraId="704B2314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0D8DA4DD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Kotov, R., Jonas, K. G., Lian, W., Docherty, A. R., &amp; Carpenter, W. T. (2022). Reconceptualizing schizophrenia in the hierarchical taxonomy of psychopathology (HiTOP).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Schizophrenia research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242</w:t>
            </w:r>
            <w:r w:rsidRPr="007C5BD9">
              <w:rPr>
                <w:rFonts w:asciiTheme="minorHAnsi" w:hAnsiTheme="minorHAnsi" w:cstheme="minorHAnsi"/>
                <w:bCs/>
              </w:rPr>
              <w:t>, 73-77.</w:t>
            </w:r>
          </w:p>
          <w:p w14:paraId="0DFA69A9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2B69423D" w14:textId="5AB434C9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Brüne, M. (2005). “Theory of mind” in schizophrenia: a review of the literature.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Schizophrenia bulletin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31</w:t>
            </w:r>
            <w:r w:rsidRPr="007C5BD9">
              <w:rPr>
                <w:rFonts w:asciiTheme="minorHAnsi" w:hAnsiTheme="minorHAnsi" w:cstheme="minorHAnsi"/>
                <w:bCs/>
              </w:rPr>
              <w:t>(1), 21-42.</w:t>
            </w:r>
          </w:p>
        </w:tc>
      </w:tr>
      <w:tr w:rsidR="006034CC" w:rsidRPr="007C5BD9" w14:paraId="44A30A96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5DC8" w14:textId="4E59EC4B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S4. Applications for the clinical flow from a cognitive science outlook: schizophrenia (part 2)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CB2CC" w14:textId="6ACADAF3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9717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study – traditional clinical instruments vs. cognitive-based tests in schizophrenia</w:t>
            </w:r>
          </w:p>
          <w:p w14:paraId="1336F5BF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3E7E5032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lastRenderedPageBreak/>
              <w:t>To read: Kern, R. S., Gold, J. M., Dickinson, D., Green, M. F., Nuechterlein, K. H., Baade, L. E., ... &amp; Marder, S. R. (2011). The MCCB impairment profile for schizophrenia outpatients: results from the MATRICS psychometric and standardization study.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Schizophrenia research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126</w:t>
            </w:r>
            <w:r w:rsidRPr="007C5BD9">
              <w:rPr>
                <w:rFonts w:asciiTheme="minorHAnsi" w:hAnsiTheme="minorHAnsi" w:cstheme="minorHAnsi"/>
                <w:bCs/>
              </w:rPr>
              <w:t>(1-3), 124-131.</w:t>
            </w:r>
          </w:p>
          <w:p w14:paraId="0ED7544D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04442098" w14:textId="75C9C20B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Kay, S. R., Fiszbein, A., &amp; Opler, L. A. (1987). The positive and negative syndrome scale (PANSS) for schizophrenia.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Schizophrenia bulletin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13</w:t>
            </w:r>
            <w:r w:rsidRPr="007C5BD9">
              <w:rPr>
                <w:rFonts w:asciiTheme="minorHAnsi" w:hAnsiTheme="minorHAnsi" w:cstheme="minorHAnsi"/>
                <w:bCs/>
              </w:rPr>
              <w:t>(2), 261-276.</w:t>
            </w:r>
          </w:p>
        </w:tc>
      </w:tr>
      <w:tr w:rsidR="006034CC" w:rsidRPr="007C5BD9" w14:paraId="73CECDBD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E35DE" w14:textId="5826296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lastRenderedPageBreak/>
              <w:t>S5. Psychopathology of depression from a cognitive science perspective (1)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582A2" w14:textId="4B0FA671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1C36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study – specific cognitive vulnerabilities in depression</w:t>
            </w:r>
          </w:p>
          <w:p w14:paraId="38541152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0C293821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 xml:space="preserve">To read: American Psychiatric Association. (2022). Depressive Disorders. In 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Diagnostic and statistical manual of mental disorders</w:t>
            </w:r>
            <w:r w:rsidRPr="007C5BD9">
              <w:rPr>
                <w:rFonts w:asciiTheme="minorHAnsi" w:hAnsiTheme="minorHAnsi" w:cstheme="minorHAnsi"/>
                <w:bCs/>
              </w:rPr>
              <w:t xml:space="preserve"> (5th ed., text rev.).</w:t>
            </w:r>
          </w:p>
          <w:p w14:paraId="245B0C74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4A71336E" w14:textId="53F97609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Ruggero, C. J., Kotov, R., Hopwood, C. J., First, M., Clark, L. A., Skodol, A. E., ... &amp; Zimmermann, J. (2019). Integrating the Hierarchical Taxonomy of Psychopathology (HiTOP) into clinical practice.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Journal of consulting and clinical psychology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87</w:t>
            </w:r>
            <w:r w:rsidRPr="007C5BD9">
              <w:rPr>
                <w:rFonts w:asciiTheme="minorHAnsi" w:hAnsiTheme="minorHAnsi" w:cstheme="minorHAnsi"/>
                <w:bCs/>
              </w:rPr>
              <w:t>(12), 1069.</w:t>
            </w:r>
          </w:p>
        </w:tc>
      </w:tr>
      <w:tr w:rsidR="006034CC" w:rsidRPr="007C5BD9" w14:paraId="776C2601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1EB28" w14:textId="24322471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S6. Psychopathology of depression from a cognitive science perspective (2)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2D69" w14:textId="32ACCF7B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05FA7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study – traditional clinical instruments vs. cognitive-based tests in depression</w:t>
            </w:r>
          </w:p>
          <w:p w14:paraId="65824575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  <w:p w14:paraId="51AF97C2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To read: Beck, A. T., Steer, R. A., Ball, R., &amp; Ranieri, W. F. (1996). Comparison of Beck Depression Inventories-IA and-II in psychiatric outpatients.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Journal of personality assessment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67</w:t>
            </w:r>
            <w:r w:rsidRPr="007C5BD9">
              <w:rPr>
                <w:rFonts w:asciiTheme="minorHAnsi" w:hAnsiTheme="minorHAnsi" w:cstheme="minorHAnsi"/>
                <w:bCs/>
              </w:rPr>
              <w:t>(3), 588-597.</w:t>
            </w:r>
          </w:p>
          <w:p w14:paraId="585DC9C9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3925BA62" w14:textId="5452BEDF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Egerhazi, A. N. I. K. O., Balla, P. E. T. R. A., Ritzl, A., Varga, Z., Frecska, E., &amp; Berecz, R. O. L. A. N. D. (2013). Automated neuropsychological test battery in depression–preliminary data.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Neuropsychopharmacol Hung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15</w:t>
            </w:r>
            <w:r w:rsidRPr="007C5BD9">
              <w:rPr>
                <w:rFonts w:asciiTheme="minorHAnsi" w:hAnsiTheme="minorHAnsi" w:cstheme="minorHAnsi"/>
                <w:bCs/>
              </w:rPr>
              <w:t>(1), 5-11.</w:t>
            </w:r>
          </w:p>
        </w:tc>
      </w:tr>
      <w:tr w:rsidR="006034CC" w:rsidRPr="007C5BD9" w14:paraId="003D1415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501C5" w14:textId="05716215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S7. Psychopathology of anxiety from a cognitive science perspective (1)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19FEF" w14:textId="69CC76C6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57E24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study – specific cognitive vulnerabilities in anxiety</w:t>
            </w:r>
          </w:p>
          <w:p w14:paraId="5BF520B7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</w:p>
          <w:p w14:paraId="65F4ED10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 xml:space="preserve">To read: American Psychiatric Association. (2022). Anxiety Disorders. In 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Diagnostic and statistical manual of mental disorders</w:t>
            </w:r>
            <w:r w:rsidRPr="007C5BD9">
              <w:rPr>
                <w:rFonts w:asciiTheme="minorHAnsi" w:hAnsiTheme="minorHAnsi" w:cstheme="minorHAnsi"/>
                <w:bCs/>
              </w:rPr>
              <w:t xml:space="preserve"> (5th ed., text rev.).</w:t>
            </w:r>
          </w:p>
          <w:p w14:paraId="00375DD3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6717276A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lastRenderedPageBreak/>
              <w:t xml:space="preserve">Barlow, D. H. (2002). 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Anxiety and Its Disorders. The Nature and Treatment of Anxiety and Panic</w:t>
            </w:r>
            <w:r w:rsidRPr="007C5BD9">
              <w:rPr>
                <w:rFonts w:asciiTheme="minorHAnsi" w:hAnsiTheme="minorHAnsi" w:cstheme="minorHAnsi"/>
                <w:bCs/>
              </w:rPr>
              <w:t xml:space="preserve"> (2</w:t>
            </w:r>
            <w:r w:rsidRPr="007C5BD9">
              <w:rPr>
                <w:rFonts w:asciiTheme="minorHAnsi" w:hAnsiTheme="minorHAnsi" w:cstheme="minorHAnsi"/>
                <w:bCs/>
                <w:vertAlign w:val="superscript"/>
              </w:rPr>
              <w:t>nd</w:t>
            </w:r>
            <w:r w:rsidRPr="007C5BD9">
              <w:rPr>
                <w:rFonts w:asciiTheme="minorHAnsi" w:hAnsiTheme="minorHAnsi" w:cstheme="minorHAnsi"/>
                <w:bCs/>
              </w:rPr>
              <w:t xml:space="preserve"> edition). The Guilford Press (Chapter 2: Fear, Anxiety, and Theories of Emotion). </w:t>
            </w:r>
          </w:p>
          <w:p w14:paraId="7E4FFD73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5DBB1B3D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Watson, D., Clark, L. A., Simms, L. J., &amp; Kotov, R. (2022). Classification and assessment of fear and anxiety in personality and psychopathology.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Neuroscience &amp; Biobehavioral Reviews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142</w:t>
            </w:r>
            <w:r w:rsidRPr="007C5BD9">
              <w:rPr>
                <w:rFonts w:asciiTheme="minorHAnsi" w:hAnsiTheme="minorHAnsi" w:cstheme="minorHAnsi"/>
                <w:bCs/>
              </w:rPr>
              <w:t>, 104878.</w:t>
            </w:r>
          </w:p>
          <w:p w14:paraId="6E10D3BE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72C16498" w14:textId="1697FF09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Beck, A. T., &amp; Clark, D. A. (1997). An information processing model of anxiety: Automatic and strategic processes.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Behaviour research and therapy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35</w:t>
            </w:r>
            <w:r w:rsidRPr="007C5BD9">
              <w:rPr>
                <w:rFonts w:asciiTheme="minorHAnsi" w:hAnsiTheme="minorHAnsi" w:cstheme="minorHAnsi"/>
                <w:bCs/>
              </w:rPr>
              <w:t>(1), 49-58.</w:t>
            </w:r>
          </w:p>
        </w:tc>
      </w:tr>
      <w:tr w:rsidR="006034CC" w:rsidRPr="007C5BD9" w14:paraId="4B8E3506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E7F2" w14:textId="601FBC08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lastRenderedPageBreak/>
              <w:t>S8. Psychopathology of anxiety from a cognitive science perspective (2)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C0FDF" w14:textId="3C7D6ED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262E9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study – traditional clinical instruments vs. cognitive-based tests in anxiety</w:t>
            </w:r>
          </w:p>
          <w:p w14:paraId="63694395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  <w:p w14:paraId="1239B981" w14:textId="58529B25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To read: Bantin, T., Stevens, S., Gerlach, A. L., &amp; Hermann, C. (2016). What does the facial dot-probe task tell us about attentional processes in social anxiety? A systematic review.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Journal of behavior therapy and experimental psychiatry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50</w:t>
            </w:r>
            <w:r w:rsidRPr="007C5BD9">
              <w:rPr>
                <w:rFonts w:asciiTheme="minorHAnsi" w:hAnsiTheme="minorHAnsi" w:cstheme="minorHAnsi"/>
                <w:bCs/>
              </w:rPr>
              <w:t>, 40-51.</w:t>
            </w:r>
          </w:p>
        </w:tc>
      </w:tr>
      <w:tr w:rsidR="006034CC" w:rsidRPr="007C5BD9" w14:paraId="4E2D5ADB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8861" w14:textId="7416C97B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S9. Midterm evaluation: thought disorder and internalizing module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0C8D4" w14:textId="293C7B3B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Assessment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553D2" w14:textId="1050508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conceptualization and evaluation</w:t>
            </w:r>
          </w:p>
        </w:tc>
      </w:tr>
      <w:tr w:rsidR="006034CC" w:rsidRPr="007C5BD9" w14:paraId="09023DF7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2B936" w14:textId="742E8A42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S10. Psychopathology of addictions from a cognitive science perspective (1)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2FE6" w14:textId="387AF4CC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0276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 xml:space="preserve">Case study – specific cognitive vulnerabilities in addictions </w:t>
            </w:r>
          </w:p>
          <w:p w14:paraId="1481463B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3E700559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 xml:space="preserve">To read: American Psychiatric Association. (2022). Substance-Related and Addictive Disorders. In 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Diagnostic and statistical manual of mental disorders</w:t>
            </w:r>
            <w:r w:rsidRPr="007C5BD9">
              <w:rPr>
                <w:rFonts w:asciiTheme="minorHAnsi" w:hAnsiTheme="minorHAnsi" w:cstheme="minorHAnsi"/>
                <w:bCs/>
              </w:rPr>
              <w:t xml:space="preserve"> (5th ed., text rev.).</w:t>
            </w:r>
          </w:p>
          <w:p w14:paraId="6A89FED9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035257E2" w14:textId="4B02AAA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Verdejo-Garcia, A., Garcia-Fernandez, G., &amp; Dom, G. (2019). Cognition and addiction.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Dialogues in clinical neuroscience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21</w:t>
            </w:r>
            <w:r w:rsidRPr="007C5BD9">
              <w:rPr>
                <w:rFonts w:asciiTheme="minorHAnsi" w:hAnsiTheme="minorHAnsi" w:cstheme="minorHAnsi"/>
                <w:bCs/>
              </w:rPr>
              <w:t>(3), 281-290.</w:t>
            </w:r>
          </w:p>
        </w:tc>
      </w:tr>
      <w:tr w:rsidR="006034CC" w:rsidRPr="007C5BD9" w14:paraId="16EC59E5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184A5" w14:textId="405A21CF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S11. Psychopathology of addictions from a cognitive science perspective (2)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A9B7C" w14:textId="5CCFEB2C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DE32F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study – traditional clinical instruments vs. cognitive-based tests in addictions</w:t>
            </w:r>
          </w:p>
          <w:p w14:paraId="0B8140A5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7899A0C0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 xml:space="preserve">To read: Watts, A. L., Latzman, R. D., Boness, C. L., Kotov, R., Keyser-Marcus, L., DeYoung, C. G., ... &amp; Ramey, T. (2023). New approaches to deep </w:t>
            </w:r>
            <w:r w:rsidRPr="007C5BD9">
              <w:rPr>
                <w:rFonts w:asciiTheme="minorHAnsi" w:hAnsiTheme="minorHAnsi" w:cstheme="minorHAnsi"/>
                <w:bCs/>
              </w:rPr>
              <w:lastRenderedPageBreak/>
              <w:t>phenotyping in addictions.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Psychology of Addictive Behaviors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37</w:t>
            </w:r>
            <w:r w:rsidRPr="007C5BD9">
              <w:rPr>
                <w:rFonts w:asciiTheme="minorHAnsi" w:hAnsiTheme="minorHAnsi" w:cstheme="minorHAnsi"/>
                <w:bCs/>
              </w:rPr>
              <w:t>(3), 361.</w:t>
            </w:r>
          </w:p>
          <w:p w14:paraId="38B8E966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4BFBD377" w14:textId="28DECD71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Kwako, L. E., Momenan, R., Litten, R. Z., Koob, G. F., &amp; Goldman, D. (2016). Addictions neuroclinical assessment: a neuroscience-based framework for addictive disorders.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Biological psychiatry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80</w:t>
            </w:r>
            <w:r w:rsidRPr="007C5BD9">
              <w:rPr>
                <w:rFonts w:asciiTheme="minorHAnsi" w:hAnsiTheme="minorHAnsi" w:cstheme="minorHAnsi"/>
                <w:bCs/>
              </w:rPr>
              <w:t>(3), 179-189.</w:t>
            </w:r>
          </w:p>
        </w:tc>
      </w:tr>
      <w:tr w:rsidR="006034CC" w:rsidRPr="007C5BD9" w14:paraId="43A03194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61AD8" w14:textId="067C244C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lastRenderedPageBreak/>
              <w:t>S12. Personality and personality disorder from a cognitive perspective (1)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0933A" w14:textId="63892C95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03A14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study – cognitive approach to personality disorders &amp; DSM-5 Alternative Model of Personality Disorders (AMPD)</w:t>
            </w:r>
          </w:p>
          <w:p w14:paraId="7240E4F5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3E9C8716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 xml:space="preserve">American Psychiatric Association. (2022). Alternative DSM-5 Model of Personality Disorders. In 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Diagnostic and statistical manual of mental disorders</w:t>
            </w:r>
            <w:r w:rsidRPr="007C5BD9">
              <w:rPr>
                <w:rFonts w:asciiTheme="minorHAnsi" w:hAnsiTheme="minorHAnsi" w:cstheme="minorHAnsi"/>
                <w:bCs/>
              </w:rPr>
              <w:t xml:space="preserve"> (5th ed., text rev.).</w:t>
            </w:r>
          </w:p>
          <w:p w14:paraId="15F7290B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0DAD1235" w14:textId="45EE3A80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Widiger, T. A., &amp; Costa Jr, P. T. (1994). Personality and personality disorders.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Journal of abnormal psychology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103</w:t>
            </w:r>
            <w:r w:rsidRPr="007C5BD9">
              <w:rPr>
                <w:rFonts w:asciiTheme="minorHAnsi" w:hAnsiTheme="minorHAnsi" w:cstheme="minorHAnsi"/>
                <w:bCs/>
              </w:rPr>
              <w:t>(1), 78.</w:t>
            </w:r>
          </w:p>
        </w:tc>
      </w:tr>
      <w:tr w:rsidR="006034CC" w:rsidRPr="007C5BD9" w14:paraId="5B207C13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54A1" w14:textId="5F47207B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S13. Personality and personality disorder from a cognitive perspective (2)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9B9F" w14:textId="46B602AC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Lecture, demonstration, debate, group discussion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6137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study – traditional clinical instruments vs. cognitive-based tests in personality disorders</w:t>
            </w:r>
          </w:p>
          <w:p w14:paraId="174B67EE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42DECCFC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To read: Sava, F. A., Dindelegan, C., &amp; Sălăgean, N. (2020). The utility of the Personality Clinical Form Indicators of Response Distortion: Receiver Operating Characteristic Analysis.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Romanian Journal of Applied Psychology</w:t>
            </w:r>
            <w:r w:rsidRPr="007C5BD9">
              <w:rPr>
                <w:rFonts w:asciiTheme="minorHAnsi" w:hAnsiTheme="minorHAnsi" w:cstheme="minorHAnsi"/>
                <w:bCs/>
              </w:rPr>
              <w:t>, (22).</w:t>
            </w:r>
          </w:p>
          <w:p w14:paraId="786AA9DF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  <w:p w14:paraId="2F03D769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  <w:r w:rsidRPr="007C5BD9">
              <w:rPr>
                <w:rFonts w:asciiTheme="minorHAnsi" w:hAnsiTheme="minorHAnsi" w:cstheme="minorHAnsi"/>
                <w:bCs/>
              </w:rPr>
              <w:t>Challman, K. N., Rosell, D. R., Barch, D., Koenigsberg, H. W., Harvey, P. D., Hazlett, E. A., ... &amp; McClure, M. M. (2024). The MATRICS consensus cognitive battery for the assessment of cognitive impairment in schizotypal personality disorder.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Schizophrenia research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267</w:t>
            </w:r>
            <w:r w:rsidRPr="007C5BD9">
              <w:rPr>
                <w:rFonts w:asciiTheme="minorHAnsi" w:hAnsiTheme="minorHAnsi" w:cstheme="minorHAnsi"/>
                <w:bCs/>
              </w:rPr>
              <w:t>, 308-312.</w:t>
            </w:r>
          </w:p>
          <w:p w14:paraId="416B9350" w14:textId="77777777" w:rsidR="006034CC" w:rsidRPr="007C5BD9" w:rsidRDefault="006034CC" w:rsidP="006034CC">
            <w:pPr>
              <w:pStyle w:val="NoSpacing"/>
              <w:rPr>
                <w:rFonts w:asciiTheme="minorHAnsi" w:hAnsiTheme="minorHAnsi" w:cstheme="minorHAnsi"/>
                <w:bCs/>
              </w:rPr>
            </w:pPr>
          </w:p>
          <w:p w14:paraId="0CB01BA0" w14:textId="56FF386E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Aslan, I. H., Grant, J. E., &amp; Chamberlain, S. R. (2023). Cognition in adults with borderline personality disorder.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CNS spectrums</w:t>
            </w:r>
            <w:r w:rsidRPr="007C5BD9">
              <w:rPr>
                <w:rFonts w:asciiTheme="minorHAnsi" w:hAnsiTheme="minorHAnsi" w:cstheme="minorHAnsi"/>
                <w:bCs/>
              </w:rPr>
              <w:t>, </w:t>
            </w:r>
            <w:r w:rsidRPr="007C5BD9">
              <w:rPr>
                <w:rFonts w:asciiTheme="minorHAnsi" w:hAnsiTheme="minorHAnsi" w:cstheme="minorHAnsi"/>
                <w:bCs/>
                <w:i/>
                <w:iCs/>
              </w:rPr>
              <w:t>28</w:t>
            </w:r>
            <w:r w:rsidRPr="007C5BD9">
              <w:rPr>
                <w:rFonts w:asciiTheme="minorHAnsi" w:hAnsiTheme="minorHAnsi" w:cstheme="minorHAnsi"/>
                <w:bCs/>
              </w:rPr>
              <w:t>(6), 674-679.</w:t>
            </w:r>
          </w:p>
        </w:tc>
      </w:tr>
      <w:tr w:rsidR="006034CC" w:rsidRPr="007C5BD9" w14:paraId="34CB1F0B" w14:textId="77777777" w:rsidTr="006034CC">
        <w:trPr>
          <w:jc w:val="center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23D97" w14:textId="5534803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S14. Final evaluation: externalizing module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191B6" w14:textId="5A280A4F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Assessment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FE2C2" w14:textId="4D205F5A" w:rsidR="006034CC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7C5BD9">
              <w:rPr>
                <w:rFonts w:asciiTheme="minorHAnsi" w:hAnsiTheme="minorHAnsi" w:cstheme="minorHAnsi"/>
                <w:bCs/>
              </w:rPr>
              <w:t>Case conceptualization and evaluation</w:t>
            </w:r>
          </w:p>
        </w:tc>
      </w:tr>
    </w:tbl>
    <w:p w14:paraId="6D10C60B" w14:textId="77777777" w:rsidR="008752E5" w:rsidRPr="007C5BD9" w:rsidRDefault="008752E5" w:rsidP="006E7B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345470D3" w14:textId="77777777" w:rsidR="00795C64" w:rsidRPr="007C5BD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</w:rPr>
      </w:pPr>
      <w:r w:rsidRPr="007C5BD9">
        <w:rPr>
          <w:rFonts w:ascii="Calibri" w:eastAsia="Calibri" w:hAnsi="Calibri" w:cs="Calibri"/>
          <w:b/>
          <w:color w:val="000000"/>
        </w:rPr>
        <w:lastRenderedPageBreak/>
        <w:t>Corroboration of the course contents with the epistemic expectations of the community representative, professional associations and representative employers of the programme itself</w:t>
      </w:r>
    </w:p>
    <w:tbl>
      <w:tblPr>
        <w:tblStyle w:val="a6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07"/>
      </w:tblGrid>
      <w:tr w:rsidR="00795C64" w:rsidRPr="007C5BD9" w14:paraId="2B1EB75F" w14:textId="77777777">
        <w:trPr>
          <w:trHeight w:val="1072"/>
          <w:jc w:val="center"/>
        </w:trPr>
        <w:tc>
          <w:tcPr>
            <w:tcW w:w="10207" w:type="dxa"/>
          </w:tcPr>
          <w:p w14:paraId="6B801125" w14:textId="332B77CC" w:rsidR="00795C64" w:rsidRPr="007C5BD9" w:rsidRDefault="006034CC" w:rsidP="00603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 xml:space="preserve">This discipline offers a basic introduction to clinical thinking and cognitive science research methodology. Through this it offers a critical lens into thinking about psychopathology and neuropathology. This lens is useful in thinking forward towards advanced and transdisciplinary research projects.  </w:t>
            </w:r>
          </w:p>
        </w:tc>
      </w:tr>
    </w:tbl>
    <w:p w14:paraId="2299E8E0" w14:textId="77777777" w:rsidR="00F14999" w:rsidRPr="007C5BD9" w:rsidRDefault="00F14999">
      <w:pPr>
        <w:rPr>
          <w:rFonts w:ascii="Calibri" w:eastAsia="Calibri" w:hAnsi="Calibri" w:cs="Calibri"/>
          <w:b/>
          <w:sz w:val="20"/>
          <w:szCs w:val="20"/>
        </w:rPr>
      </w:pPr>
    </w:p>
    <w:p w14:paraId="495FDA21" w14:textId="5AB1B29F" w:rsidR="0059122B" w:rsidRPr="007C5BD9" w:rsidRDefault="008D2D39" w:rsidP="005912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 w:rsidRPr="007C5BD9">
        <w:rPr>
          <w:rFonts w:ascii="Calibri" w:eastAsia="Calibri" w:hAnsi="Calibri" w:cs="Calibri"/>
          <w:b/>
          <w:color w:val="000000"/>
        </w:rPr>
        <w:t>Use of tools based on generative artificial intelligence</w:t>
      </w:r>
    </w:p>
    <w:p w14:paraId="0D8BAFB7" w14:textId="125ED070" w:rsidR="00BF0E98" w:rsidRPr="007C5BD9" w:rsidRDefault="0059122B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7C5BD9">
        <w:rPr>
          <w:rFonts w:ascii="Calibri" w:hAnsi="Calibri" w:cs="Calibri"/>
        </w:rPr>
        <w:t>To complete the tasks defined in the assessment section</w:t>
      </w:r>
      <w:r w:rsidR="00BF0E98" w:rsidRPr="007C5BD9">
        <w:rPr>
          <w:rFonts w:ascii="Calibri" w:hAnsi="Calibri" w:cs="Calibri"/>
        </w:rPr>
        <w:t xml:space="preserve"> (for both the lecture and the seminar assessment)</w:t>
      </w:r>
      <w:r w:rsidRPr="007C5BD9">
        <w:rPr>
          <w:rFonts w:ascii="Calibri" w:hAnsi="Calibri" w:cs="Calibri"/>
        </w:rPr>
        <w:t xml:space="preserve">, the use of </w:t>
      </w:r>
      <w:r w:rsidR="00CB740A" w:rsidRPr="007C5BD9">
        <w:rPr>
          <w:rFonts w:ascii="Calibri" w:hAnsi="Calibri" w:cs="Calibri"/>
        </w:rPr>
        <w:t xml:space="preserve">generative </w:t>
      </w:r>
      <w:r w:rsidR="00BF0E98" w:rsidRPr="007C5BD9">
        <w:rPr>
          <w:rFonts w:ascii="Calibri" w:hAnsi="Calibri" w:cs="Calibri"/>
        </w:rPr>
        <w:t>AI</w:t>
      </w:r>
      <w:r w:rsidRPr="007C5BD9">
        <w:rPr>
          <w:rFonts w:ascii="Calibri" w:hAnsi="Calibri" w:cs="Calibri"/>
        </w:rPr>
        <w:t xml:space="preserve"> tools is not permitted</w:t>
      </w:r>
      <w:r w:rsidR="00BF0E98" w:rsidRPr="007C5BD9">
        <w:rPr>
          <w:rFonts w:ascii="Calibri" w:hAnsi="Calibri" w:cs="Calibri"/>
        </w:rPr>
        <w:t>, since both assessment methods rely on in-class participation and testing.</w:t>
      </w:r>
    </w:p>
    <w:p w14:paraId="7F9FB9A5" w14:textId="77777777" w:rsidR="00BF0E98" w:rsidRPr="007C5BD9" w:rsidRDefault="00BF0E98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</w:p>
    <w:p w14:paraId="384C1105" w14:textId="6DD89B33" w:rsidR="00BF0E98" w:rsidRPr="007C5BD9" w:rsidRDefault="00BF0E98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7C5BD9">
        <w:rPr>
          <w:rFonts w:ascii="Calibri" w:hAnsi="Calibri" w:cs="Calibri"/>
        </w:rPr>
        <w:t xml:space="preserve">However, students are allowed to use AI tools during seminars to enhance their understanding of the concepts discussed. The most well-known examples of generative AI tools include, but are not limited to: ChatGPT, Google Gemini, Copilot for text, or MidJourney for images. The AI tools should not replace the recommended readings and the materials provided by the instructor. </w:t>
      </w:r>
    </w:p>
    <w:p w14:paraId="758BEF40" w14:textId="77777777" w:rsidR="00CA3710" w:rsidRPr="007C5BD9" w:rsidRDefault="00CA3710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</w:p>
    <w:p w14:paraId="1FA04A58" w14:textId="3EFD1492" w:rsidR="00CA3710" w:rsidRPr="007C5BD9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7C5BD9">
        <w:rPr>
          <w:rFonts w:ascii="Calibri" w:hAnsi="Calibri" w:cs="Calibri"/>
        </w:rPr>
        <w:t>To complete the compensatory task defined in the minimum performance standards section, the use of generative AII tools permitted for text rewriting, editing/reviewing. Each student will specify, in a statement written separately for each assignment, according to</w:t>
      </w:r>
    </w:p>
    <w:p w14:paraId="6350C358" w14:textId="26209DB2" w:rsidR="00CA3710" w:rsidRPr="007C5BD9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Style w:val="Hyperlink"/>
          <w:rFonts w:ascii="Calibri" w:hAnsi="Calibri" w:cs="Calibri"/>
        </w:rPr>
      </w:pPr>
      <w:r w:rsidRPr="007C5BD9">
        <w:rPr>
          <w:rFonts w:ascii="Calibri" w:hAnsi="Calibri" w:cs="Calibri"/>
        </w:rPr>
        <w:t xml:space="preserve">the model in Annex 3 of the </w:t>
      </w:r>
      <w:r w:rsidRPr="007C5BD9">
        <w:rPr>
          <w:rFonts w:ascii="Calibri" w:hAnsi="Calibri" w:cs="Calibri"/>
        </w:rPr>
        <w:fldChar w:fldCharType="begin"/>
      </w:r>
      <w:r w:rsidRPr="007C5BD9">
        <w:rPr>
          <w:rFonts w:ascii="Calibri" w:hAnsi="Calibri" w:cs="Calibri"/>
        </w:rPr>
        <w:instrText>HYPERLINK "https://www.uvt.ro/wp-content/uploads/sites/3/2026/01/Regulament-UVT_Utilizarea-AI-in-educatie.pdf"</w:instrText>
      </w:r>
      <w:r w:rsidRPr="007C5BD9">
        <w:rPr>
          <w:rFonts w:ascii="Calibri" w:hAnsi="Calibri" w:cs="Calibri"/>
        </w:rPr>
      </w:r>
      <w:r w:rsidRPr="007C5BD9">
        <w:rPr>
          <w:rFonts w:ascii="Calibri" w:hAnsi="Calibri" w:cs="Calibri"/>
        </w:rPr>
        <w:fldChar w:fldCharType="separate"/>
      </w:r>
      <w:r w:rsidRPr="007C5BD9">
        <w:rPr>
          <w:rStyle w:val="Hyperlink"/>
          <w:rFonts w:ascii="Calibri" w:hAnsi="Calibri" w:cs="Calibri"/>
        </w:rPr>
        <w:t>Regulation on the use of generative artificial intelligence in the</w:t>
      </w:r>
    </w:p>
    <w:p w14:paraId="2C62FBB5" w14:textId="0D8676AE" w:rsidR="00CA3710" w:rsidRPr="007C5BD9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7C5BD9">
        <w:rPr>
          <w:rStyle w:val="Hyperlink"/>
          <w:rFonts w:ascii="Calibri" w:hAnsi="Calibri" w:cs="Calibri"/>
        </w:rPr>
        <w:t>educational process at UVT</w:t>
      </w:r>
      <w:r w:rsidRPr="007C5BD9">
        <w:rPr>
          <w:rFonts w:ascii="Calibri" w:hAnsi="Calibri" w:cs="Calibri"/>
        </w:rPr>
        <w:fldChar w:fldCharType="end"/>
      </w:r>
      <w:r w:rsidRPr="007C5BD9">
        <w:rPr>
          <w:rFonts w:ascii="Calibri" w:hAnsi="Calibri" w:cs="Calibri"/>
        </w:rPr>
        <w:t>, the tool they used, how it was used, and the part of the assignment</w:t>
      </w:r>
    </w:p>
    <w:p w14:paraId="6C5F2871" w14:textId="77777777" w:rsidR="00CA3710" w:rsidRPr="007C5BD9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7C5BD9">
        <w:rPr>
          <w:rFonts w:ascii="Calibri" w:hAnsi="Calibri" w:cs="Calibri"/>
        </w:rPr>
        <w:t>in which it was used. The statement will be included by the student at the beginning of the</w:t>
      </w:r>
    </w:p>
    <w:p w14:paraId="35E10EFA" w14:textId="199F6127" w:rsidR="00CA3710" w:rsidRPr="007C5BD9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7C5BD9">
        <w:rPr>
          <w:rFonts w:ascii="Calibri" w:hAnsi="Calibri" w:cs="Calibri"/>
        </w:rPr>
        <w:t>submitted assignment.</w:t>
      </w:r>
    </w:p>
    <w:p w14:paraId="0456A0BC" w14:textId="77777777" w:rsidR="008D2D39" w:rsidRPr="007C5BD9" w:rsidRDefault="008D2D39" w:rsidP="008D2D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b/>
          <w:color w:val="000000"/>
        </w:rPr>
      </w:pPr>
    </w:p>
    <w:p w14:paraId="08B34F49" w14:textId="672347FF" w:rsidR="00795C64" w:rsidRPr="007C5BD9" w:rsidRDefault="008D2D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 w:rsidRPr="007C5BD9">
        <w:rPr>
          <w:rFonts w:ascii="Calibri" w:eastAsia="Calibri" w:hAnsi="Calibri" w:cs="Calibri"/>
          <w:b/>
          <w:color w:val="000000"/>
        </w:rPr>
        <w:t>Evaluation</w:t>
      </w:r>
    </w:p>
    <w:tbl>
      <w:tblPr>
        <w:tblStyle w:val="a7"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1"/>
        <w:gridCol w:w="2953"/>
        <w:gridCol w:w="2835"/>
        <w:gridCol w:w="1984"/>
      </w:tblGrid>
      <w:tr w:rsidR="00795C64" w:rsidRPr="007C5BD9" w14:paraId="21E5C240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61F56B60" w14:textId="77777777" w:rsidR="00795C64" w:rsidRPr="007C5BD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Type of activity</w:t>
            </w:r>
          </w:p>
        </w:tc>
        <w:tc>
          <w:tcPr>
            <w:tcW w:w="2953" w:type="dxa"/>
            <w:vAlign w:val="center"/>
          </w:tcPr>
          <w:p w14:paraId="1F252322" w14:textId="149F3096" w:rsidR="00795C64" w:rsidRPr="007C5BD9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10.1 Evaluation criteria</w:t>
            </w:r>
          </w:p>
        </w:tc>
        <w:tc>
          <w:tcPr>
            <w:tcW w:w="2835" w:type="dxa"/>
            <w:vAlign w:val="center"/>
          </w:tcPr>
          <w:p w14:paraId="6EC1A059" w14:textId="34F2620B" w:rsidR="00795C64" w:rsidRPr="007C5BD9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10.2 Evaluation methods</w:t>
            </w:r>
          </w:p>
        </w:tc>
        <w:tc>
          <w:tcPr>
            <w:tcW w:w="1984" w:type="dxa"/>
            <w:vAlign w:val="center"/>
          </w:tcPr>
          <w:p w14:paraId="15315DBC" w14:textId="3205EA09" w:rsidR="00795C64" w:rsidRPr="007C5BD9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10.3 Percentage of the final mark</w:t>
            </w:r>
          </w:p>
        </w:tc>
      </w:tr>
      <w:tr w:rsidR="005C101A" w:rsidRPr="007C5BD9" w14:paraId="0B4F7881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0659D9A2" w14:textId="6A120581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10.4 Course</w:t>
            </w:r>
          </w:p>
        </w:tc>
        <w:tc>
          <w:tcPr>
            <w:tcW w:w="2953" w:type="dxa"/>
            <w:vAlign w:val="center"/>
          </w:tcPr>
          <w:p w14:paraId="3FFEE129" w14:textId="33CBBA1A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Quiz</w:t>
            </w:r>
          </w:p>
        </w:tc>
        <w:tc>
          <w:tcPr>
            <w:tcW w:w="2835" w:type="dxa"/>
            <w:vAlign w:val="center"/>
          </w:tcPr>
          <w:p w14:paraId="3010BC69" w14:textId="29AF400D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 xml:space="preserve">Multiple-choice question test </w:t>
            </w:r>
          </w:p>
        </w:tc>
        <w:tc>
          <w:tcPr>
            <w:tcW w:w="1984" w:type="dxa"/>
            <w:vAlign w:val="center"/>
          </w:tcPr>
          <w:p w14:paraId="0D18CBCF" w14:textId="7EB22156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50%</w:t>
            </w:r>
          </w:p>
        </w:tc>
      </w:tr>
      <w:tr w:rsidR="005C101A" w:rsidRPr="007C5BD9" w14:paraId="163E246F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02CE981A" w14:textId="73ADF073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10.5 Seminar</w:t>
            </w:r>
          </w:p>
        </w:tc>
        <w:tc>
          <w:tcPr>
            <w:tcW w:w="2953" w:type="dxa"/>
            <w:vAlign w:val="center"/>
          </w:tcPr>
          <w:p w14:paraId="4AADC981" w14:textId="14669BC0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Midterm evaluation</w:t>
            </w:r>
          </w:p>
        </w:tc>
        <w:tc>
          <w:tcPr>
            <w:tcW w:w="2835" w:type="dxa"/>
            <w:vAlign w:val="center"/>
          </w:tcPr>
          <w:p w14:paraId="08182C37" w14:textId="3F71E227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Seminar assessment in the 9</w:t>
            </w:r>
            <w:r w:rsidRPr="007C5BD9">
              <w:rPr>
                <w:rFonts w:asciiTheme="minorHAnsi" w:hAnsiTheme="minorHAnsi" w:cstheme="minorHAnsi"/>
                <w:vertAlign w:val="superscript"/>
              </w:rPr>
              <w:t>th</w:t>
            </w:r>
            <w:r w:rsidRPr="007C5BD9">
              <w:rPr>
                <w:rFonts w:asciiTheme="minorHAnsi" w:hAnsiTheme="minorHAnsi" w:cstheme="minorHAnsi"/>
              </w:rPr>
              <w:t xml:space="preserve"> week</w:t>
            </w:r>
          </w:p>
        </w:tc>
        <w:tc>
          <w:tcPr>
            <w:tcW w:w="1984" w:type="dxa"/>
            <w:vAlign w:val="center"/>
          </w:tcPr>
          <w:p w14:paraId="2264F600" w14:textId="654336F3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25%</w:t>
            </w:r>
          </w:p>
        </w:tc>
      </w:tr>
      <w:tr w:rsidR="005C101A" w:rsidRPr="007C5BD9" w14:paraId="17DB1E0A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40BE9F82" w14:textId="77777777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2953" w:type="dxa"/>
            <w:vAlign w:val="center"/>
          </w:tcPr>
          <w:p w14:paraId="6BFA18D0" w14:textId="2CC5DAE4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Final evaluation</w:t>
            </w:r>
          </w:p>
        </w:tc>
        <w:tc>
          <w:tcPr>
            <w:tcW w:w="2835" w:type="dxa"/>
            <w:vAlign w:val="center"/>
          </w:tcPr>
          <w:p w14:paraId="7496D48D" w14:textId="3D6B31B9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Seminar assessment in the 14</w:t>
            </w:r>
            <w:r w:rsidRPr="007C5BD9">
              <w:rPr>
                <w:rFonts w:asciiTheme="minorHAnsi" w:hAnsiTheme="minorHAnsi" w:cstheme="minorHAnsi"/>
                <w:vertAlign w:val="superscript"/>
              </w:rPr>
              <w:t>th</w:t>
            </w:r>
            <w:r w:rsidRPr="007C5BD9">
              <w:rPr>
                <w:rFonts w:asciiTheme="minorHAnsi" w:hAnsiTheme="minorHAnsi" w:cstheme="minorHAnsi"/>
              </w:rPr>
              <w:t xml:space="preserve"> week</w:t>
            </w:r>
          </w:p>
        </w:tc>
        <w:tc>
          <w:tcPr>
            <w:tcW w:w="1984" w:type="dxa"/>
            <w:vAlign w:val="center"/>
          </w:tcPr>
          <w:p w14:paraId="59652220" w14:textId="580FD982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5BD9">
              <w:rPr>
                <w:rFonts w:asciiTheme="minorHAnsi" w:hAnsiTheme="minorHAnsi" w:cstheme="minorHAnsi"/>
              </w:rPr>
              <w:t>25%</w:t>
            </w:r>
          </w:p>
        </w:tc>
      </w:tr>
      <w:tr w:rsidR="005C101A" w:rsidRPr="007C5BD9" w14:paraId="0713FE01" w14:textId="77777777">
        <w:trPr>
          <w:trHeight w:val="159"/>
          <w:jc w:val="center"/>
        </w:trPr>
        <w:tc>
          <w:tcPr>
            <w:tcW w:w="9923" w:type="dxa"/>
            <w:gridSpan w:val="4"/>
            <w:vAlign w:val="center"/>
          </w:tcPr>
          <w:p w14:paraId="69088645" w14:textId="3BD0EF03" w:rsidR="005C101A" w:rsidRPr="007C5BD9" w:rsidRDefault="005C101A" w:rsidP="005C10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7C5BD9">
              <w:rPr>
                <w:rFonts w:ascii="Calibri" w:eastAsia="Calibri" w:hAnsi="Calibri" w:cs="Calibri"/>
                <w:b/>
                <w:color w:val="000000"/>
              </w:rPr>
              <w:t>10.6 Minimum performance standards</w:t>
            </w:r>
          </w:p>
        </w:tc>
      </w:tr>
      <w:tr w:rsidR="005C101A" w:rsidRPr="007C5BD9" w14:paraId="2B3D81A8" w14:textId="77777777" w:rsidTr="00F14999">
        <w:trPr>
          <w:trHeight w:val="288"/>
          <w:jc w:val="center"/>
        </w:trPr>
        <w:tc>
          <w:tcPr>
            <w:tcW w:w="9923" w:type="dxa"/>
            <w:gridSpan w:val="4"/>
            <w:vAlign w:val="center"/>
          </w:tcPr>
          <w:p w14:paraId="21188054" w14:textId="5DAA8DE1" w:rsidR="005C101A" w:rsidRPr="007C5BD9" w:rsidRDefault="005C101A" w:rsidP="005C101A">
            <w:pPr>
              <w:pStyle w:val="NoSpacing"/>
              <w:rPr>
                <w:rFonts w:asciiTheme="minorHAnsi" w:hAnsiTheme="minorHAnsi" w:cstheme="minorHAnsi"/>
              </w:rPr>
            </w:pPr>
            <w:commentRangeStart w:id="0"/>
            <w:r w:rsidRPr="007C5BD9">
              <w:rPr>
                <w:rFonts w:asciiTheme="minorHAnsi" w:hAnsiTheme="minorHAnsi" w:cstheme="minorHAnsi"/>
              </w:rPr>
              <w:t xml:space="preserve">A minimum grade of 5 </w:t>
            </w:r>
            <w:commentRangeEnd w:id="0"/>
            <w:r w:rsidR="00682584" w:rsidRPr="007C5BD9">
              <w:rPr>
                <w:rStyle w:val="CommentReference"/>
                <w:rFonts w:asciiTheme="minorHAnsi" w:hAnsiTheme="minorHAnsi" w:cstheme="minorHAnsi"/>
                <w:sz w:val="24"/>
                <w:szCs w:val="24"/>
              </w:rPr>
              <w:commentReference w:id="0"/>
            </w:r>
            <w:r w:rsidR="00B03844" w:rsidRPr="007C5BD9">
              <w:rPr>
                <w:rFonts w:asciiTheme="minorHAnsi" w:hAnsiTheme="minorHAnsi" w:cstheme="minorHAnsi"/>
              </w:rPr>
              <w:t xml:space="preserve">is </w:t>
            </w:r>
            <w:r w:rsidR="005A2A7C" w:rsidRPr="007C5BD9">
              <w:rPr>
                <w:rFonts w:asciiTheme="minorHAnsi" w:hAnsiTheme="minorHAnsi" w:cstheme="minorHAnsi"/>
              </w:rPr>
              <w:t xml:space="preserve">required for (1) the multiple-choice test and (2) the </w:t>
            </w:r>
            <w:r w:rsidR="00B03844" w:rsidRPr="007C5BD9">
              <w:rPr>
                <w:rFonts w:asciiTheme="minorHAnsi" w:hAnsiTheme="minorHAnsi" w:cstheme="minorHAnsi"/>
              </w:rPr>
              <w:t xml:space="preserve">final grade calculated based on the above weights. Failing to meet either requirement will lead </w:t>
            </w:r>
            <w:r w:rsidR="00257DBF" w:rsidRPr="007C5BD9">
              <w:rPr>
                <w:rFonts w:asciiTheme="minorHAnsi" w:hAnsiTheme="minorHAnsi" w:cstheme="minorHAnsi"/>
              </w:rPr>
              <w:t xml:space="preserve">to the student having to take the </w:t>
            </w:r>
            <w:r w:rsidR="007D660C" w:rsidRPr="007C5BD9">
              <w:rPr>
                <w:rFonts w:asciiTheme="minorHAnsi" w:hAnsiTheme="minorHAnsi" w:cstheme="minorHAnsi"/>
              </w:rPr>
              <w:t>multiple-choice test</w:t>
            </w:r>
            <w:r w:rsidR="00257DBF" w:rsidRPr="007C5BD9">
              <w:rPr>
                <w:rFonts w:asciiTheme="minorHAnsi" w:hAnsiTheme="minorHAnsi" w:cstheme="minorHAnsi"/>
              </w:rPr>
              <w:t xml:space="preserve"> in the B-II session. The grade received for the seminar evaluations will be carried forward to the final grade calculation, regardless of the </w:t>
            </w:r>
            <w:r w:rsidR="00533F8B" w:rsidRPr="007C5BD9">
              <w:rPr>
                <w:rFonts w:asciiTheme="minorHAnsi" w:hAnsiTheme="minorHAnsi" w:cstheme="minorHAnsi"/>
              </w:rPr>
              <w:t xml:space="preserve">actual </w:t>
            </w:r>
            <w:r w:rsidR="00257DBF" w:rsidRPr="007C5BD9">
              <w:rPr>
                <w:rFonts w:asciiTheme="minorHAnsi" w:hAnsiTheme="minorHAnsi" w:cstheme="minorHAnsi"/>
              </w:rPr>
              <w:t xml:space="preserve">performance. </w:t>
            </w:r>
          </w:p>
          <w:p w14:paraId="43FFCB31" w14:textId="77777777" w:rsidR="005C101A" w:rsidRPr="007C5BD9" w:rsidRDefault="005C101A" w:rsidP="005C101A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4722E4E0" w14:textId="77777777" w:rsidR="005C101A" w:rsidRPr="007C5BD9" w:rsidRDefault="005C101A" w:rsidP="005C101A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7C5BD9">
              <w:rPr>
                <w:rFonts w:asciiTheme="minorHAnsi" w:hAnsiTheme="minorHAnsi" w:cstheme="minorHAnsi"/>
                <w:b/>
                <w:bCs/>
              </w:rPr>
              <w:t>Attendance requirement</w:t>
            </w:r>
          </w:p>
          <w:p w14:paraId="20B3498E" w14:textId="56D7AA86" w:rsidR="005C101A" w:rsidRPr="007C5BD9" w:rsidRDefault="005C101A" w:rsidP="005C101A">
            <w:pPr>
              <w:pStyle w:val="NoSpacing"/>
              <w:rPr>
                <w:rFonts w:asciiTheme="minorHAnsi" w:hAnsiTheme="minorHAnsi" w:cstheme="minorHAnsi"/>
              </w:rPr>
            </w:pPr>
            <w:r w:rsidRPr="007C5BD9">
              <w:rPr>
                <w:rFonts w:asciiTheme="minorHAnsi" w:hAnsiTheme="minorHAnsi" w:cstheme="minorHAnsi"/>
              </w:rPr>
              <w:lastRenderedPageBreak/>
              <w:t xml:space="preserve">For lectures, a minimum of 7 (50%) </w:t>
            </w:r>
            <w:r w:rsidR="00257DBF" w:rsidRPr="007C5BD9">
              <w:rPr>
                <w:rFonts w:asciiTheme="minorHAnsi" w:hAnsiTheme="minorHAnsi" w:cstheme="minorHAnsi"/>
              </w:rPr>
              <w:t>attended sessions</w:t>
            </w:r>
            <w:r w:rsidRPr="007C5BD9">
              <w:rPr>
                <w:rFonts w:asciiTheme="minorHAnsi" w:hAnsiTheme="minorHAnsi" w:cstheme="minorHAnsi"/>
              </w:rPr>
              <w:t xml:space="preserve"> </w:t>
            </w:r>
            <w:r w:rsidR="00257DBF" w:rsidRPr="007C5BD9">
              <w:rPr>
                <w:rFonts w:asciiTheme="minorHAnsi" w:hAnsiTheme="minorHAnsi" w:cstheme="minorHAnsi"/>
              </w:rPr>
              <w:t>is</w:t>
            </w:r>
            <w:r w:rsidRPr="007C5BD9">
              <w:rPr>
                <w:rFonts w:asciiTheme="minorHAnsi" w:hAnsiTheme="minorHAnsi" w:cstheme="minorHAnsi"/>
              </w:rPr>
              <w:t xml:space="preserve"> required. For seminars, a minimum of 9 (70%) </w:t>
            </w:r>
            <w:r w:rsidR="00257DBF" w:rsidRPr="007C5BD9">
              <w:rPr>
                <w:rFonts w:asciiTheme="minorHAnsi" w:hAnsiTheme="minorHAnsi" w:cstheme="minorHAnsi"/>
              </w:rPr>
              <w:t>attended sessions is</w:t>
            </w:r>
            <w:r w:rsidRPr="007C5BD9">
              <w:rPr>
                <w:rFonts w:asciiTheme="minorHAnsi" w:hAnsiTheme="minorHAnsi" w:cstheme="minorHAnsi"/>
              </w:rPr>
              <w:t xml:space="preserve"> required for non-working students and a minimum of 7 (50%) for students who present the work certificate. </w:t>
            </w:r>
          </w:p>
          <w:p w14:paraId="1919A0CF" w14:textId="77777777" w:rsidR="005C101A" w:rsidRPr="007C5BD9" w:rsidRDefault="005C101A" w:rsidP="005C101A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073ADEF9" w14:textId="77777777" w:rsidR="005C101A" w:rsidRPr="007C5BD9" w:rsidRDefault="005C101A" w:rsidP="005C101A">
            <w:pPr>
              <w:pStyle w:val="NoSpacing"/>
              <w:rPr>
                <w:rFonts w:asciiTheme="minorHAnsi" w:hAnsiTheme="minorHAnsi" w:cstheme="minorHAnsi"/>
              </w:rPr>
            </w:pPr>
            <w:r w:rsidRPr="007C5BD9">
              <w:rPr>
                <w:rFonts w:asciiTheme="minorHAnsi" w:hAnsiTheme="minorHAnsi" w:cstheme="minorHAnsi"/>
                <w:b/>
                <w:bCs/>
              </w:rPr>
              <w:t>Compensatory task</w:t>
            </w:r>
          </w:p>
          <w:p w14:paraId="7888ABA7" w14:textId="77777777" w:rsidR="005C101A" w:rsidRPr="007C5BD9" w:rsidRDefault="005C101A" w:rsidP="005C101A">
            <w:pPr>
              <w:pStyle w:val="NoSpacing"/>
              <w:rPr>
                <w:rFonts w:asciiTheme="minorHAnsi" w:hAnsiTheme="minorHAnsi" w:cstheme="minorHAnsi"/>
              </w:rPr>
            </w:pPr>
            <w:r w:rsidRPr="007C5BD9">
              <w:rPr>
                <w:rFonts w:asciiTheme="minorHAnsi" w:hAnsiTheme="minorHAnsi" w:cstheme="minorHAnsi"/>
              </w:rPr>
              <w:t xml:space="preserve">Students may recover missing attendance by completing a compensatory task: writing a reaction paper to an article chosen by the examiner. Only students who participated in at least 50% of the minimum required sessions are eligible for the compensatory task. </w:t>
            </w:r>
          </w:p>
          <w:p w14:paraId="2E2E2486" w14:textId="77777777" w:rsidR="005C101A" w:rsidRPr="007C5BD9" w:rsidRDefault="005C101A" w:rsidP="005C101A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3B3BF016" w14:textId="77777777" w:rsidR="005C101A" w:rsidRPr="007C5BD9" w:rsidRDefault="005C101A" w:rsidP="005C101A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7C5BD9">
              <w:rPr>
                <w:rFonts w:asciiTheme="minorHAnsi" w:hAnsiTheme="minorHAnsi" w:cstheme="minorHAnsi"/>
                <w:b/>
                <w:bCs/>
              </w:rPr>
              <w:t>B session assessment</w:t>
            </w:r>
          </w:p>
          <w:p w14:paraId="25042649" w14:textId="58D7EE4A" w:rsidR="005C101A" w:rsidRPr="007C5BD9" w:rsidRDefault="005C101A" w:rsidP="00BA7237">
            <w:pPr>
              <w:pStyle w:val="NoSpacing"/>
              <w:rPr>
                <w:rFonts w:asciiTheme="minorHAnsi" w:hAnsiTheme="minorHAnsi" w:cstheme="minorHAnsi"/>
              </w:rPr>
            </w:pPr>
            <w:r w:rsidRPr="007C5BD9">
              <w:rPr>
                <w:rFonts w:asciiTheme="minorHAnsi" w:hAnsiTheme="minorHAnsi" w:cstheme="minorHAnsi"/>
              </w:rPr>
              <w:t xml:space="preserve">Students failing to meet the attendance requirement will take the multiple-choice test in the B session. </w:t>
            </w:r>
          </w:p>
        </w:tc>
      </w:tr>
    </w:tbl>
    <w:p w14:paraId="35F9C43D" w14:textId="77777777" w:rsidR="00795C64" w:rsidRPr="007C5BD9" w:rsidRDefault="00000000">
      <w:pPr>
        <w:spacing w:line="276" w:lineRule="auto"/>
        <w:jc w:val="both"/>
        <w:rPr>
          <w:rFonts w:ascii="Calibri" w:eastAsia="Calibri" w:hAnsi="Calibri" w:cs="Calibri"/>
        </w:rPr>
      </w:pPr>
      <w:r w:rsidRPr="007C5BD9">
        <w:rPr>
          <w:rFonts w:ascii="Calibri" w:eastAsia="Calibri" w:hAnsi="Calibri" w:cs="Calibri"/>
          <w:b/>
        </w:rPr>
        <w:lastRenderedPageBreak/>
        <w:t>Date of submission:                                                       Titular of the course</w:t>
      </w:r>
      <w:r w:rsidRPr="007C5BD9">
        <w:rPr>
          <w:rFonts w:ascii="Calibri" w:eastAsia="Calibri" w:hAnsi="Calibri" w:cs="Calibri"/>
        </w:rPr>
        <w:t>:</w:t>
      </w:r>
    </w:p>
    <w:p w14:paraId="49EA27F5" w14:textId="7F455B8D" w:rsidR="00795C64" w:rsidRPr="007C5BD9" w:rsidRDefault="005C101A">
      <w:pPr>
        <w:spacing w:line="276" w:lineRule="auto"/>
        <w:jc w:val="both"/>
        <w:rPr>
          <w:rFonts w:ascii="Calibri" w:eastAsia="Calibri" w:hAnsi="Calibri" w:cs="Calibri"/>
        </w:rPr>
      </w:pPr>
      <w:r w:rsidRPr="007C5BD9">
        <w:rPr>
          <w:rFonts w:ascii="Calibri" w:eastAsia="Calibri" w:hAnsi="Calibri" w:cs="Calibri"/>
        </w:rPr>
        <w:t xml:space="preserve">03.02.2026                                                                       </w:t>
      </w:r>
      <w:r w:rsidR="0015007D" w:rsidRPr="007C5BD9">
        <w:rPr>
          <w:rFonts w:asciiTheme="minorHAnsi" w:eastAsia="Calibri" w:hAnsiTheme="minorHAnsi" w:cstheme="minorHAnsi"/>
        </w:rPr>
        <w:t xml:space="preserve">Lecturer </w:t>
      </w:r>
      <w:r w:rsidR="006F4A4A" w:rsidRPr="007C5BD9">
        <w:rPr>
          <w:rFonts w:asciiTheme="minorHAnsi" w:eastAsia="Calibri" w:hAnsiTheme="minorHAnsi" w:cstheme="minorHAnsi"/>
        </w:rPr>
        <w:t>Mugur Daniel CIUMĂGEANU</w:t>
      </w:r>
      <w:r w:rsidR="0015007D" w:rsidRPr="007C5BD9">
        <w:rPr>
          <w:rFonts w:ascii="Calibri" w:eastAsia="Calibri" w:hAnsi="Calibri" w:cs="Calibri"/>
        </w:rPr>
        <w:t>, Ph.D.</w:t>
      </w:r>
    </w:p>
    <w:p w14:paraId="370BCD01" w14:textId="77777777" w:rsidR="00795C64" w:rsidRPr="007C5BD9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5AC46186" w14:textId="77777777" w:rsidR="00795C64" w:rsidRPr="007C5BD9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3ADE3A6E" w14:textId="77777777" w:rsidR="00795C64" w:rsidRPr="007C5BD9" w:rsidRDefault="00000000">
      <w:pPr>
        <w:spacing w:line="276" w:lineRule="auto"/>
        <w:jc w:val="both"/>
        <w:rPr>
          <w:rFonts w:ascii="Calibri" w:eastAsia="Calibri" w:hAnsi="Calibri" w:cs="Calibri"/>
        </w:rPr>
      </w:pPr>
      <w:r w:rsidRPr="007C5BD9">
        <w:rPr>
          <w:rFonts w:ascii="Calibri" w:eastAsia="Calibri" w:hAnsi="Calibri" w:cs="Calibri"/>
          <w:b/>
        </w:rPr>
        <w:t>Date of approval in department:                                Seminary titular</w:t>
      </w:r>
      <w:r w:rsidRPr="007C5BD9">
        <w:rPr>
          <w:rFonts w:ascii="Calibri" w:eastAsia="Calibri" w:hAnsi="Calibri" w:cs="Calibri"/>
        </w:rPr>
        <w:t>:</w:t>
      </w:r>
    </w:p>
    <w:p w14:paraId="061FA0D0" w14:textId="0E239650" w:rsidR="006F4A4A" w:rsidRPr="007C5BD9" w:rsidRDefault="00000000" w:rsidP="0015007D">
      <w:pPr>
        <w:pStyle w:val="BodyText"/>
        <w:tabs>
          <w:tab w:val="left" w:pos="7401"/>
        </w:tabs>
        <w:rPr>
          <w:rFonts w:asciiTheme="minorHAnsi" w:eastAsia="Calibri" w:hAnsiTheme="minorHAnsi" w:cstheme="minorHAnsi"/>
          <w:sz w:val="24"/>
          <w:szCs w:val="24"/>
          <w:lang w:eastAsia="en-GB"/>
        </w:rPr>
      </w:pPr>
      <w:r w:rsidRPr="007C5BD9">
        <w:rPr>
          <w:rFonts w:ascii="Calibri" w:eastAsia="Calibri" w:hAnsi="Calibri" w:cs="Calibri"/>
        </w:rPr>
        <w:t xml:space="preserve">                                                                                     </w:t>
      </w:r>
      <w:r w:rsidR="0015007D" w:rsidRPr="007C5BD9">
        <w:rPr>
          <w:rFonts w:ascii="Calibri" w:eastAsia="Calibri" w:hAnsi="Calibri" w:cs="Calibri"/>
        </w:rPr>
        <w:t xml:space="preserve">             </w:t>
      </w:r>
      <w:r w:rsidRPr="007C5BD9">
        <w:rPr>
          <w:rFonts w:ascii="Calibri" w:eastAsia="Calibri" w:hAnsi="Calibri" w:cs="Calibri"/>
        </w:rPr>
        <w:t xml:space="preserve">  </w:t>
      </w:r>
      <w:r w:rsidR="0015007D" w:rsidRPr="007C5BD9">
        <w:rPr>
          <w:rFonts w:asciiTheme="minorHAnsi" w:eastAsia="Calibri" w:hAnsiTheme="minorHAnsi" w:cstheme="minorHAnsi"/>
          <w:sz w:val="24"/>
          <w:szCs w:val="24"/>
          <w:lang w:val="en-GB"/>
        </w:rPr>
        <w:t xml:space="preserve">Assist. Prof. </w:t>
      </w:r>
      <w:r w:rsidR="006F4A4A" w:rsidRPr="007C5BD9">
        <w:rPr>
          <w:rFonts w:asciiTheme="minorHAnsi" w:eastAsia="Calibri" w:hAnsiTheme="minorHAnsi" w:cstheme="minorHAnsi"/>
          <w:sz w:val="24"/>
          <w:szCs w:val="24"/>
          <w:lang w:val="en-GB"/>
        </w:rPr>
        <w:t>Darian</w:t>
      </w:r>
      <w:r w:rsidR="006F4A4A" w:rsidRPr="007C5BD9">
        <w:rPr>
          <w:rFonts w:asciiTheme="minorHAnsi" w:eastAsia="Calibri" w:hAnsiTheme="minorHAnsi" w:cstheme="minorHAnsi"/>
          <w:sz w:val="24"/>
          <w:szCs w:val="24"/>
          <w:lang w:eastAsia="en-GB"/>
        </w:rPr>
        <w:t xml:space="preserve"> FAUR, Ph</w:t>
      </w:r>
      <w:r w:rsidR="0015007D" w:rsidRPr="007C5BD9">
        <w:rPr>
          <w:rFonts w:asciiTheme="minorHAnsi" w:eastAsia="Calibri" w:hAnsiTheme="minorHAnsi" w:cstheme="minorHAnsi"/>
          <w:sz w:val="24"/>
          <w:szCs w:val="24"/>
          <w:lang w:eastAsia="en-GB"/>
        </w:rPr>
        <w:t>.</w:t>
      </w:r>
      <w:r w:rsidR="006F4A4A" w:rsidRPr="007C5BD9">
        <w:rPr>
          <w:rFonts w:asciiTheme="minorHAnsi" w:eastAsia="Calibri" w:hAnsiTheme="minorHAnsi" w:cstheme="minorHAnsi"/>
          <w:sz w:val="24"/>
          <w:szCs w:val="24"/>
          <w:lang w:eastAsia="en-GB"/>
        </w:rPr>
        <w:t>D</w:t>
      </w:r>
      <w:r w:rsidR="0015007D" w:rsidRPr="007C5BD9">
        <w:rPr>
          <w:rFonts w:asciiTheme="minorHAnsi" w:eastAsia="Calibri" w:hAnsiTheme="minorHAnsi" w:cstheme="minorHAnsi"/>
          <w:sz w:val="24"/>
          <w:szCs w:val="24"/>
          <w:lang w:eastAsia="en-GB"/>
        </w:rPr>
        <w:t>.</w:t>
      </w:r>
      <w:r w:rsidR="006F4A4A" w:rsidRPr="007C5BD9">
        <w:rPr>
          <w:rFonts w:asciiTheme="minorHAnsi" w:eastAsia="Calibri" w:hAnsiTheme="minorHAnsi" w:cstheme="minorHAnsi"/>
          <w:sz w:val="24"/>
          <w:szCs w:val="24"/>
          <w:lang w:eastAsia="en-GB"/>
        </w:rPr>
        <w:t xml:space="preserve"> Candidate</w:t>
      </w:r>
    </w:p>
    <w:p w14:paraId="7A746540" w14:textId="0668FDD8" w:rsidR="00795C64" w:rsidRPr="007C5BD9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5E5D398A" w14:textId="77777777" w:rsidR="00795C64" w:rsidRPr="007C5BD9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3975558D" w14:textId="77777777" w:rsidR="00795C64" w:rsidRPr="007C5BD9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655FC3B5" w14:textId="77777777" w:rsidR="00795C64" w:rsidRPr="007C5BD9" w:rsidRDefault="00000000">
      <w:pPr>
        <w:spacing w:line="276" w:lineRule="auto"/>
        <w:jc w:val="center"/>
        <w:rPr>
          <w:rFonts w:ascii="Calibri" w:eastAsia="Calibri" w:hAnsi="Calibri" w:cs="Calibri"/>
        </w:rPr>
      </w:pPr>
      <w:r w:rsidRPr="007C5BD9">
        <w:rPr>
          <w:rFonts w:ascii="Calibri" w:eastAsia="Calibri" w:hAnsi="Calibri" w:cs="Calibri"/>
          <w:b/>
        </w:rPr>
        <w:t>HEAD OF THE DEPARTMENT</w:t>
      </w:r>
      <w:r w:rsidRPr="007C5BD9">
        <w:rPr>
          <w:rFonts w:ascii="Calibri" w:eastAsia="Calibri" w:hAnsi="Calibri" w:cs="Calibri"/>
        </w:rPr>
        <w:t>:</w:t>
      </w:r>
    </w:p>
    <w:p w14:paraId="15543739" w14:textId="5AD7537B" w:rsidR="006F4A4A" w:rsidRDefault="006F4A4A">
      <w:pPr>
        <w:spacing w:line="276" w:lineRule="auto"/>
        <w:jc w:val="center"/>
        <w:rPr>
          <w:rFonts w:ascii="Calibri" w:eastAsia="Calibri" w:hAnsi="Calibri" w:cs="Calibri"/>
        </w:rPr>
      </w:pPr>
      <w:r w:rsidRPr="007C5BD9">
        <w:rPr>
          <w:rFonts w:asciiTheme="minorHAnsi" w:eastAsia="Calibri" w:hAnsiTheme="minorHAnsi" w:cstheme="minorHAnsi"/>
        </w:rPr>
        <w:t>Assoc. Prof. Andrei RUSU, Ph.D.</w:t>
      </w:r>
    </w:p>
    <w:sectPr w:rsidR="006F4A4A" w:rsidSect="00F14999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016" w:right="1133" w:bottom="1418" w:left="1418" w:header="288" w:footer="864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Iulia Crisan" w:date="2026-02-05T07:00:00Z" w:initials="IC">
    <w:p w14:paraId="6A3E97A1" w14:textId="77777777" w:rsidR="00682584" w:rsidRDefault="00682584" w:rsidP="00682584">
      <w:pPr>
        <w:pStyle w:val="CommentText"/>
      </w:pPr>
      <w:r>
        <w:rPr>
          <w:rStyle w:val="CommentReference"/>
        </w:rPr>
        <w:annotationRef/>
      </w:r>
      <w:r>
        <w:t>Aici inteleg ca e vorba de nota finala? Adica nu e necesar sa aiba o nota minima la fiecare evaluare? Cred ca trebuie specificat asta...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3E97A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6B5995" w16cex:dateUtc="2026-02-05T0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3E97A1" w16cid:durableId="546B59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B67D4" w14:textId="77777777" w:rsidR="003F0BA1" w:rsidRDefault="003F0BA1">
      <w:r>
        <w:separator/>
      </w:r>
    </w:p>
  </w:endnote>
  <w:endnote w:type="continuationSeparator" w:id="0">
    <w:p w14:paraId="241CF7C0" w14:textId="77777777" w:rsidR="003F0BA1" w:rsidRDefault="003F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DDC9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DAF4083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74AA8EB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  <w:p w14:paraId="363F3C94" w14:textId="77777777" w:rsidR="00795C64" w:rsidRDefault="00795C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72AB" w14:textId="77777777" w:rsidR="00795C64" w:rsidRDefault="00795C64">
    <w:pPr>
      <w:ind w:right="360"/>
      <w:rPr>
        <w:rFonts w:ascii="Arial Narrow" w:eastAsia="Arial Narrow" w:hAnsi="Arial Narrow" w:cs="Arial Narrow"/>
        <w:color w:val="FFFFFF"/>
        <w:sz w:val="22"/>
        <w:szCs w:val="22"/>
      </w:rPr>
    </w:pPr>
    <w:hyperlink r:id="rId1">
      <w:r>
        <w:rPr>
          <w:rFonts w:ascii="Arial Narrow" w:eastAsia="Arial Narrow" w:hAnsi="Arial Narrow" w:cs="Arial Narrow"/>
          <w:color w:val="FFFFFF"/>
          <w:sz w:val="22"/>
          <w:szCs w:val="22"/>
          <w:u w:val="single"/>
        </w:rPr>
        <w:t>Website: http://www.uvt.ro/</w:t>
      </w:r>
    </w:hyperlink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3B48C340" wp14:editId="7177373A">
              <wp:simplePos x="0" y="0"/>
              <wp:positionH relativeFrom="column">
                <wp:posOffset>-872805</wp:posOffset>
              </wp:positionH>
              <wp:positionV relativeFrom="paragraph">
                <wp:posOffset>147638</wp:posOffset>
              </wp:positionV>
              <wp:extent cx="7495540" cy="665480"/>
              <wp:effectExtent l="0" t="0" r="0" b="0"/>
              <wp:wrapNone/>
              <wp:docPr id="33" name="Rectangl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602993" y="3452023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98F6EFE" w14:textId="77717EC0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Adresă poștală: Bd. Vasile Pârvan nr. 4, cod poștal 300223, Timișoara, jud. Timiș, România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br/>
                            <w:t>Număr de telefon: +40-(0)256-592.300 (310)</w:t>
                          </w:r>
                        </w:p>
                        <w:p w14:paraId="1EA1DB05" w14:textId="5DB803AA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lang w:val="ro-RO"/>
                            </w:rPr>
                            <w:t xml:space="preserve">             Adresă de e-mail: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secretariat@e-uvt.ro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</w:t>
                          </w:r>
                        </w:p>
                        <w:p w14:paraId="425C1300" w14:textId="77777777" w:rsidR="00795C64" w:rsidRPr="00A40E25" w:rsidRDefault="00000000">
                          <w:pPr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Website: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www.uvt.ro</w:t>
                          </w:r>
                        </w:p>
                        <w:p w14:paraId="6151CC14" w14:textId="77777777" w:rsidR="00795C64" w:rsidRPr="00A40E25" w:rsidRDefault="00795C64">
                          <w:pPr>
                            <w:textDirection w:val="btLr"/>
                            <w:rPr>
                              <w:lang w:val="ro-RO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48C340" id="Rectangle 33" o:spid="_x0000_s1027" style="position:absolute;margin-left:-68.7pt;margin-top:11.65pt;width:590.2pt;height:52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" strokecolor="white">
              <v:stroke startarrowwidth="narrow" startarrowlength="short" endarrowwidth="narrow" endarrowlength="short"/>
              <v:textbox inset="2.53958mm,1.2694mm,2.53958mm,1.2694mm">
                <w:txbxContent>
                  <w:p w14:paraId="498F6EFE" w14:textId="77717EC0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Adresă poștală: Bd. Vasile Pârvan nr. 4, cod poștal 300223, Timișoara, jud. Timiș, România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br/>
                      <w:t>Număr de telefon: +40-(0)256-592.300 (310)</w:t>
                    </w:r>
                  </w:p>
                  <w:p w14:paraId="1EA1DB05" w14:textId="5DB803AA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lang w:val="ro-RO"/>
                      </w:rPr>
                      <w:t xml:space="preserve">             Adresă de e-mail: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secretariat@e-uvt.ro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</w:t>
                    </w:r>
                  </w:p>
                  <w:p w14:paraId="425C1300" w14:textId="77777777" w:rsidR="00795C64" w:rsidRPr="00A40E25" w:rsidRDefault="00000000">
                    <w:pPr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Website: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www.uvt.ro</w:t>
                    </w:r>
                  </w:p>
                  <w:p w14:paraId="6151CC14" w14:textId="77777777" w:rsidR="00795C64" w:rsidRPr="00A40E25" w:rsidRDefault="00795C64">
                    <w:pPr>
                      <w:textDirection w:val="btLr"/>
                      <w:rPr>
                        <w:lang w:val="ro-RO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550C95D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BC8A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02177781" wp14:editId="59504A88">
              <wp:simplePos x="0" y="0"/>
              <wp:positionH relativeFrom="column">
                <wp:posOffset>-4761</wp:posOffset>
              </wp:positionH>
              <wp:positionV relativeFrom="paragraph">
                <wp:posOffset>-4761</wp:posOffset>
              </wp:positionV>
              <wp:extent cx="7296150" cy="665480"/>
              <wp:effectExtent l="0" t="0" r="0" b="0"/>
              <wp:wrapNone/>
              <wp:docPr id="36" name="Rectangle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02688" y="3452023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chemeClr val="l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B0EBC48" w14:textId="77777777" w:rsidR="00795C64" w:rsidRDefault="00000000">
                          <w:pPr>
                            <w:ind w:left="-425" w:right="-158" w:hanging="425"/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Adresă poștală: Bd. Vasile Pârvan nr. 4, cod poștal 300223, Timișoara, jud. Timiș, România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br/>
                            <w:t>Număr de telefon: +40-(0)256-592.300 (310)</w:t>
                          </w:r>
                        </w:p>
                        <w:p w14:paraId="0F59F638" w14:textId="77777777" w:rsidR="00795C64" w:rsidRDefault="00000000">
                          <w:pPr>
                            <w:ind w:left="-425" w:right="-158" w:hanging="425"/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</w:rPr>
                            <w:t xml:space="preserve">Adresă de e-mail: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secretariat@e-uvt.ro</w:t>
                          </w:r>
                        </w:p>
                        <w:p w14:paraId="09477094" w14:textId="77777777" w:rsidR="00795C64" w:rsidRDefault="00000000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Website: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www.uvt.ro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177781" id="Rectangle 36" o:spid="_x0000_s1029" style="position:absolute;margin-left:-.35pt;margin-top:-.35pt;width:574.5pt;height:52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" strokecolor="white [3201]">
              <v:stroke startarrowwidth="narrow" startarrowlength="short" endarrowwidth="narrow" endarrowlength="short"/>
              <v:textbox inset="2.53958mm,1.2694mm,2.53958mm,1.2694mm">
                <w:txbxContent>
                  <w:p w14:paraId="4B0EBC48" w14:textId="77777777" w:rsidR="00795C64" w:rsidRDefault="00000000">
                    <w:pPr>
                      <w:ind w:left="-425" w:right="-158" w:hanging="425"/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Adresă poștală: Bd. Vasile Pârvan nr. 4, cod poștal 300223, Timișoara, jud. Timiș, România</w:t>
                    </w: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br/>
                      <w:t>Număr de telefon: +40-(0)256-592.300 (310)</w:t>
                    </w:r>
                  </w:p>
                  <w:p w14:paraId="0F59F638" w14:textId="77777777" w:rsidR="00795C64" w:rsidRDefault="00000000">
                    <w:pPr>
                      <w:ind w:left="-425" w:right="-158" w:hanging="425"/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</w:rPr>
                      <w:t xml:space="preserve">Adresă de e-mail: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secretariat@e-uvt.ro</w:t>
                    </w:r>
                  </w:p>
                  <w:p w14:paraId="09477094" w14:textId="77777777" w:rsidR="00795C64" w:rsidRDefault="00000000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Website: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www.uvt.ro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32C20" w14:textId="77777777" w:rsidR="003F0BA1" w:rsidRDefault="003F0BA1">
      <w:r>
        <w:separator/>
      </w:r>
    </w:p>
  </w:footnote>
  <w:footnote w:type="continuationSeparator" w:id="0">
    <w:p w14:paraId="60CAC47E" w14:textId="77777777" w:rsidR="003F0BA1" w:rsidRDefault="003F0BA1">
      <w:r>
        <w:continuationSeparator/>
      </w:r>
    </w:p>
  </w:footnote>
  <w:footnote w:id="1">
    <w:p w14:paraId="784825DC" w14:textId="77777777" w:rsidR="00477986" w:rsidRDefault="00477986" w:rsidP="00AA5F3B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Calibri" w:eastAsia="Calibri" w:hAnsi="Calibri" w:cs="Calibri"/>
          <w:sz w:val="20"/>
          <w:szCs w:val="20"/>
        </w:rPr>
        <w:t xml:space="preserve"> According to article 37, paragraph (1) of the Higher Education Law no. 199/2023, with subsequent amendments and additions, "the academic success of a student during a study program is determined by verifying the acquisition of the expected learning outcomes through exam-type evaluations and evaluation throughout the semester".</w:t>
      </w:r>
    </w:p>
  </w:footnote>
  <w:footnote w:id="2">
    <w:p w14:paraId="250320E7" w14:textId="34BC2893" w:rsidR="0050217E" w:rsidRPr="007C5BD9" w:rsidRDefault="0050217E" w:rsidP="00AA5F3B">
      <w:pPr>
        <w:pStyle w:val="FootnoteText"/>
        <w:jc w:val="both"/>
        <w:rPr>
          <w:lang w:val="ro-RO"/>
        </w:rPr>
      </w:pPr>
      <w:r w:rsidRPr="007C5BD9">
        <w:rPr>
          <w:rStyle w:val="FootnoteReference"/>
        </w:rPr>
        <w:footnoteRef/>
      </w:r>
      <w:r w:rsidRPr="007C5BD9">
        <w:t xml:space="preserve"> </w:t>
      </w:r>
      <w:r w:rsidR="000D7071" w:rsidRPr="007C5BD9">
        <w:t xml:space="preserve">The total number of contact hours and individual study hours will be aligned with the number of credits allocated to the course. One credit corresponds to </w:t>
      </w:r>
      <w:r w:rsidR="0081477F" w:rsidRPr="007C5BD9">
        <w:t xml:space="preserve">a total </w:t>
      </w:r>
      <w:r w:rsidR="000D7071" w:rsidRPr="007C5BD9">
        <w:t xml:space="preserve">between 25 and 30 hours of teaching activities and individual study. </w:t>
      </w:r>
      <w:r w:rsidR="00255FFC" w:rsidRPr="007C5BD9">
        <w:t xml:space="preserve"> At the level of academic departments </w:t>
      </w:r>
      <w:r w:rsidR="000D7071" w:rsidRPr="007C5BD9">
        <w:t xml:space="preserve">may </w:t>
      </w:r>
      <w:r w:rsidR="00255FFC" w:rsidRPr="007C5BD9">
        <w:t>establish, by discipline categories, the exact equivalence between one credit and the number of hours.</w:t>
      </w:r>
    </w:p>
  </w:footnote>
  <w:footnote w:id="3">
    <w:p w14:paraId="6533C65A" w14:textId="3C3C07E7" w:rsidR="0050217E" w:rsidRPr="007C5BD9" w:rsidRDefault="0050217E" w:rsidP="00AA5F3B">
      <w:pPr>
        <w:pStyle w:val="FootnoteText"/>
        <w:jc w:val="both"/>
        <w:rPr>
          <w:lang w:val="ro-RO"/>
        </w:rPr>
      </w:pPr>
      <w:r w:rsidRPr="007C5BD9">
        <w:rPr>
          <w:rStyle w:val="FootnoteReference"/>
        </w:rPr>
        <w:footnoteRef/>
      </w:r>
      <w:r w:rsidRPr="007C5BD9">
        <w:t xml:space="preserve"> </w:t>
      </w:r>
      <w:r w:rsidR="00AA5F3B" w:rsidRPr="007C5BD9">
        <w:t xml:space="preserve">The hours corresponding to examinations are added only to </w:t>
      </w:r>
      <w:r w:rsidR="0081477F" w:rsidRPr="007C5BD9">
        <w:t xml:space="preserve">the </w:t>
      </w:r>
      <w:r w:rsidR="00AA5F3B" w:rsidRPr="007C5BD9">
        <w:t>point 3.8 – T</w:t>
      </w:r>
      <w:r w:rsidR="0081477F" w:rsidRPr="007C5BD9">
        <w:t>he t</w:t>
      </w:r>
      <w:r w:rsidR="00AA5F3B" w:rsidRPr="007C5BD9">
        <w:t xml:space="preserve">otal hours per semester, not to </w:t>
      </w:r>
      <w:r w:rsidR="0081477F" w:rsidRPr="007C5BD9">
        <w:t xml:space="preserve">be added to the </w:t>
      </w:r>
      <w:r w:rsidR="00AA5F3B" w:rsidRPr="007C5BD9">
        <w:t>point 3.7 – Total hours of individual study.</w:t>
      </w:r>
    </w:p>
  </w:footnote>
  <w:footnote w:id="4">
    <w:p w14:paraId="43CAB028" w14:textId="13AE0601" w:rsidR="0050217E" w:rsidRPr="0050217E" w:rsidRDefault="0050217E" w:rsidP="00AA5F3B">
      <w:pPr>
        <w:pStyle w:val="FootnoteText"/>
        <w:jc w:val="both"/>
        <w:rPr>
          <w:lang w:val="ro-RO"/>
        </w:rPr>
      </w:pPr>
      <w:r w:rsidRPr="007C5BD9">
        <w:rPr>
          <w:rStyle w:val="FootnoteReference"/>
        </w:rPr>
        <w:footnoteRef/>
      </w:r>
      <w:r w:rsidRPr="007C5BD9">
        <w:t xml:space="preserve"> </w:t>
      </w:r>
      <w:r w:rsidR="00AA5F3B" w:rsidRPr="007C5BD9">
        <w:t>Total hours per semester = total hours in the curriculum + total hours of individual study + hours allocated to examinations.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B1FB" w14:textId="4607C809" w:rsidR="00795C64" w:rsidRDefault="008752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540" w:right="-158" w:firstLine="5220"/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018D956F" wp14:editId="1F629EB0">
          <wp:simplePos x="0" y="0"/>
          <wp:positionH relativeFrom="column">
            <wp:posOffset>-668655</wp:posOffset>
          </wp:positionH>
          <wp:positionV relativeFrom="paragraph">
            <wp:posOffset>139700</wp:posOffset>
          </wp:positionV>
          <wp:extent cx="2476500" cy="852805"/>
          <wp:effectExtent l="0" t="0" r="0" b="0"/>
          <wp:wrapNone/>
          <wp:docPr id="38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A31DEC1" wp14:editId="463B88CD">
              <wp:simplePos x="0" y="0"/>
              <wp:positionH relativeFrom="column">
                <wp:posOffset>1807527</wp:posOffset>
              </wp:positionH>
              <wp:positionV relativeFrom="paragraph">
                <wp:posOffset>432118</wp:posOffset>
              </wp:positionV>
              <wp:extent cx="4760595" cy="383925"/>
              <wp:effectExtent l="0" t="0" r="0" b="0"/>
              <wp:wrapNone/>
              <wp:docPr id="35" name="Rectangl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800"/>
                        <a:ext cx="4751070" cy="37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201010" w14:textId="07ABE23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>MINISTERUL EDUCAȚIEI</w:t>
                          </w:r>
                          <w:r w:rsidR="008752E5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 xml:space="preserve"> ȘI CERCETĂRII</w:t>
                          </w:r>
                        </w:p>
                        <w:p w14:paraId="4F150996" w14:textId="7777777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</w:rPr>
                            <w:t>UNIVERSITATEA DE VEST DIN TIMIȘOARA</w:t>
                          </w:r>
                        </w:p>
                        <w:p w14:paraId="751D8CD1" w14:textId="77777777" w:rsidR="00795C64" w:rsidRDefault="00795C64">
                          <w:pPr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31DEC1" id="Rectangle 35" o:spid="_x0000_s1026" style="position:absolute;left:0;text-align:left;margin-left:142.3pt;margin-top:34.05pt;width:374.85pt;height:3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" stroked="f">
              <v:textbox inset="2.53958mm,1.2694mm,2.53958mm,1.2694mm">
                <w:txbxContent>
                  <w:p w14:paraId="1E201010" w14:textId="07ABE23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>MINISTERUL EDUCAȚIEI</w:t>
                    </w:r>
                    <w:r w:rsidR="008752E5"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 xml:space="preserve"> ȘI CERCETĂRII</w:t>
                    </w:r>
                  </w:p>
                  <w:p w14:paraId="4F150996" w14:textId="7777777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5A5A5A"/>
                        <w:sz w:val="22"/>
                      </w:rPr>
                      <w:t>UNIVERSITATEA DE VEST DIN TIMIȘOARA</w:t>
                    </w:r>
                  </w:p>
                  <w:p w14:paraId="751D8CD1" w14:textId="77777777" w:rsidR="00795C64" w:rsidRDefault="00795C64">
                    <w:pPr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74FBEF85" wp14:editId="118AFC7C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40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427BE67" w14:textId="77777777" w:rsidR="00795C64" w:rsidRDefault="00795C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4FD6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58EA921" wp14:editId="4CFB109C">
              <wp:simplePos x="0" y="0"/>
              <wp:positionH relativeFrom="column">
                <wp:posOffset>1817688</wp:posOffset>
              </wp:positionH>
              <wp:positionV relativeFrom="paragraph">
                <wp:posOffset>523558</wp:posOffset>
              </wp:positionV>
              <wp:extent cx="4760595" cy="385445"/>
              <wp:effectExtent l="0" t="0" r="0" b="0"/>
              <wp:wrapNone/>
              <wp:docPr id="34" name="Rectangl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04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C19DF2" w14:textId="7777777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>MINISTERUL EDUCAȚIEI NAȚIONALE</w:t>
                          </w:r>
                        </w:p>
                        <w:p w14:paraId="75D53044" w14:textId="7777777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</w:rPr>
                            <w:t>UNIVERSITATEA DE VEST DIN TIMIȘOARA</w:t>
                          </w:r>
                        </w:p>
                        <w:p w14:paraId="0EA99B5D" w14:textId="77777777" w:rsidR="00795C64" w:rsidRDefault="00795C64">
                          <w:pPr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8EA921" id="Rectangle 34" o:spid="_x0000_s1028" style="position:absolute;margin-left:143.15pt;margin-top:41.25pt;width:374.85pt;height:30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" stroked="f">
              <v:textbox inset="2.53958mm,1.2694mm,2.53958mm,1.2694mm">
                <w:txbxContent>
                  <w:p w14:paraId="43C19DF2" w14:textId="7777777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>MINISTERUL EDUCAȚIEI NAȚIONALE</w:t>
                    </w:r>
                  </w:p>
                  <w:p w14:paraId="75D53044" w14:textId="7777777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5A5A5A"/>
                        <w:sz w:val="22"/>
                      </w:rPr>
                      <w:t>UNIVERSITATEA DE VEST DIN TIMIȘOARA</w:t>
                    </w:r>
                  </w:p>
                  <w:p w14:paraId="0EA99B5D" w14:textId="77777777" w:rsidR="00795C64" w:rsidRDefault="00795C64">
                    <w:pPr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hidden="0" allowOverlap="1" wp14:anchorId="56B8FE4C" wp14:editId="12008A58">
          <wp:simplePos x="0" y="0"/>
          <wp:positionH relativeFrom="column">
            <wp:posOffset>723265</wp:posOffset>
          </wp:positionH>
          <wp:positionV relativeFrom="paragraph">
            <wp:posOffset>937894</wp:posOffset>
          </wp:positionV>
          <wp:extent cx="5930900" cy="38100"/>
          <wp:effectExtent l="0" t="0" r="0" b="0"/>
          <wp:wrapNone/>
          <wp:docPr id="37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hidden="0" allowOverlap="1" wp14:anchorId="39C8188D" wp14:editId="4C62B71B">
          <wp:simplePos x="0" y="0"/>
          <wp:positionH relativeFrom="column">
            <wp:posOffset>-467359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9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2B16"/>
    <w:multiLevelType w:val="multilevel"/>
    <w:tmpl w:val="343681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062"/>
    <w:multiLevelType w:val="multilevel"/>
    <w:tmpl w:val="DEC4B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B613E66"/>
    <w:multiLevelType w:val="hybridMultilevel"/>
    <w:tmpl w:val="C0448FD6"/>
    <w:lvl w:ilvl="0" w:tplc="55D6463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0F54A9"/>
    <w:multiLevelType w:val="multilevel"/>
    <w:tmpl w:val="34A063B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73334788"/>
    <w:multiLevelType w:val="multilevel"/>
    <w:tmpl w:val="EDA6B628"/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CA170F8"/>
    <w:multiLevelType w:val="multilevel"/>
    <w:tmpl w:val="49161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796263">
    <w:abstractNumId w:val="1"/>
  </w:num>
  <w:num w:numId="2" w16cid:durableId="1625621859">
    <w:abstractNumId w:val="4"/>
  </w:num>
  <w:num w:numId="3" w16cid:durableId="2038700711">
    <w:abstractNumId w:val="3"/>
  </w:num>
  <w:num w:numId="4" w16cid:durableId="1840076038">
    <w:abstractNumId w:val="5"/>
  </w:num>
  <w:num w:numId="5" w16cid:durableId="640581100">
    <w:abstractNumId w:val="0"/>
  </w:num>
  <w:num w:numId="6" w16cid:durableId="3684588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ulia Crisan">
    <w15:presenceInfo w15:providerId="Windows Live" w15:userId="809c877a8ff037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3MbA0sTQ0s7AwNzRV0lEKTi0uzszPAykwrAUAhpERkywAAAA="/>
  </w:docVars>
  <w:rsids>
    <w:rsidRoot w:val="00795C64"/>
    <w:rsid w:val="000361EF"/>
    <w:rsid w:val="000B3FB1"/>
    <w:rsid w:val="000D7071"/>
    <w:rsid w:val="000F3B5C"/>
    <w:rsid w:val="0015007D"/>
    <w:rsid w:val="001746F9"/>
    <w:rsid w:val="00186573"/>
    <w:rsid w:val="0019615C"/>
    <w:rsid w:val="00255FFC"/>
    <w:rsid w:val="00257DBF"/>
    <w:rsid w:val="00260EAD"/>
    <w:rsid w:val="00275061"/>
    <w:rsid w:val="002C10D7"/>
    <w:rsid w:val="0035786D"/>
    <w:rsid w:val="00367BB0"/>
    <w:rsid w:val="003F0BA1"/>
    <w:rsid w:val="0044285A"/>
    <w:rsid w:val="00447F2D"/>
    <w:rsid w:val="00477986"/>
    <w:rsid w:val="0050217E"/>
    <w:rsid w:val="00513D15"/>
    <w:rsid w:val="00530F08"/>
    <w:rsid w:val="00533F8B"/>
    <w:rsid w:val="0056272D"/>
    <w:rsid w:val="0059122B"/>
    <w:rsid w:val="005A2A7C"/>
    <w:rsid w:val="005B4FAB"/>
    <w:rsid w:val="005C101A"/>
    <w:rsid w:val="006034CC"/>
    <w:rsid w:val="0064102C"/>
    <w:rsid w:val="00682584"/>
    <w:rsid w:val="006909AC"/>
    <w:rsid w:val="006E5213"/>
    <w:rsid w:val="006E7B9A"/>
    <w:rsid w:val="006F4A4A"/>
    <w:rsid w:val="00727C1B"/>
    <w:rsid w:val="00786310"/>
    <w:rsid w:val="00795C64"/>
    <w:rsid w:val="007C5BD9"/>
    <w:rsid w:val="007D660C"/>
    <w:rsid w:val="0081477F"/>
    <w:rsid w:val="008752E5"/>
    <w:rsid w:val="008D0AC7"/>
    <w:rsid w:val="008D2D39"/>
    <w:rsid w:val="00A3672A"/>
    <w:rsid w:val="00A40E25"/>
    <w:rsid w:val="00A43CF0"/>
    <w:rsid w:val="00AA5F3B"/>
    <w:rsid w:val="00B03844"/>
    <w:rsid w:val="00B278BE"/>
    <w:rsid w:val="00B46D12"/>
    <w:rsid w:val="00B84D94"/>
    <w:rsid w:val="00BA7237"/>
    <w:rsid w:val="00BF0E98"/>
    <w:rsid w:val="00BF430A"/>
    <w:rsid w:val="00C05594"/>
    <w:rsid w:val="00C71329"/>
    <w:rsid w:val="00C9624C"/>
    <w:rsid w:val="00CA3710"/>
    <w:rsid w:val="00CB740A"/>
    <w:rsid w:val="00CC703F"/>
    <w:rsid w:val="00F14999"/>
    <w:rsid w:val="00F27050"/>
    <w:rsid w:val="00F41385"/>
    <w:rsid w:val="00F46B55"/>
    <w:rsid w:val="00F57B07"/>
    <w:rsid w:val="00F94CEF"/>
    <w:rsid w:val="00F97C43"/>
    <w:rsid w:val="00FC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8194F"/>
  <w15:docId w15:val="{D820C94B-BD77-E548-AE6C-716D9829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outlineLvl w:val="2"/>
    </w:pPr>
    <w:rPr>
      <w:rFonts w:ascii="Tahoma" w:eastAsia="Tahoma" w:hAnsi="Tahoma" w:cs="Tahoma"/>
      <w:b/>
      <w:color w:val="FFFFFF"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line="360" w:lineRule="auto"/>
      <w:outlineLvl w:val="5"/>
    </w:pPr>
    <w:rPr>
      <w:rFonts w:ascii="Cambria" w:eastAsia="Cambria" w:hAnsi="Cambria" w:cs="Cambr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link w:val="ListParagraphChar"/>
    <w:uiPriority w:val="34"/>
    <w:qFormat/>
    <w:rsid w:val="000C2457"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eastAsia="en-GB"/>
    </w:rPr>
  </w:style>
  <w:style w:type="character" w:customStyle="1" w:styleId="ListParagraphChar">
    <w:name w:val="List Paragraph Char"/>
    <w:link w:val="ListParagraph"/>
    <w:uiPriority w:val="1"/>
    <w:locked/>
    <w:rsid w:val="00207413"/>
    <w:rPr>
      <w:rFonts w:ascii="Times New Roman" w:eastAsia="Times New Roman" w:hAnsi="Times New Roman"/>
      <w:sz w:val="24"/>
      <w:szCs w:val="24"/>
      <w:lang w:val="ro-RO" w:eastAsia="ro-RO"/>
    </w:rPr>
  </w:style>
  <w:style w:type="table" w:customStyle="1" w:styleId="TableNormal1">
    <w:name w:val="Table Normal1"/>
    <w:uiPriority w:val="2"/>
    <w:semiHidden/>
    <w:unhideWhenUsed/>
    <w:qFormat/>
    <w:rsid w:val="00207413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07413"/>
    <w:pPr>
      <w:widowControl w:val="0"/>
      <w:autoSpaceDE w:val="0"/>
      <w:autoSpaceDN w:val="0"/>
      <w:ind w:left="110"/>
    </w:pPr>
    <w:rPr>
      <w:sz w:val="22"/>
      <w:szCs w:val="2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widowControl w:val="0"/>
    </w:pPr>
    <w:rPr>
      <w:rFonts w:ascii="Calibri" w:eastAsia="Calibri" w:hAnsi="Calibri" w:cs="Calibri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6F4A4A"/>
    <w:pPr>
      <w:widowControl w:val="0"/>
      <w:autoSpaceDE w:val="0"/>
      <w:autoSpaceDN w:val="0"/>
    </w:pPr>
    <w:rPr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F4A4A"/>
    <w:rPr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0559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doi.org/10.1007/978-3-031-66021-4_9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al1VSE8/kIM51FFhDJEAJwAppQ==">CgMxLjA4AHIhMWhSbDF5aFV5MFNiQzRGOGppV2o5LTFJU2RiN3ZjTW5S</go:docsCustomData>
</go:gDocsCustomXmlDataStorage>
</file>

<file path=customXml/itemProps1.xml><?xml version="1.0" encoding="utf-8"?>
<ds:datastoreItem xmlns:ds="http://schemas.openxmlformats.org/officeDocument/2006/customXml" ds:itemID="{A43A1E9B-BDCF-4B45-BADD-9F0E3C89D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2615</Words>
  <Characters>14910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raduta</dc:creator>
  <cp:lastModifiedBy>Andrei Rusul</cp:lastModifiedBy>
  <cp:revision>10</cp:revision>
  <dcterms:created xsi:type="dcterms:W3CDTF">2026-02-05T04:58:00Z</dcterms:created>
  <dcterms:modified xsi:type="dcterms:W3CDTF">2026-02-17T16:56:00Z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a4362c25-6b9d-462a-bbee-b80ad638e246</vt:lpwstr>
  </property>
</Properties>
</file>